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1"/>
        <w:gridCol w:w="6953"/>
      </w:tblGrid>
      <w:tr w:rsidR="00C50277" w:rsidRPr="001E3BFE" w:rsidTr="001D399C">
        <w:trPr>
          <w:trHeight w:val="337"/>
          <w:jc w:val="center"/>
        </w:trPr>
        <w:tc>
          <w:tcPr>
            <w:tcW w:w="1592" w:type="dxa"/>
          </w:tcPr>
          <w:p w:rsidR="00C50277" w:rsidRPr="001E3BFE" w:rsidRDefault="00030486" w:rsidP="00320815">
            <w:pPr>
              <w:pStyle w:val="a5"/>
              <w:bidi w:val="0"/>
              <w:spacing w:line="360" w:lineRule="auto"/>
              <w:jc w:val="both"/>
            </w:pPr>
            <w:r w:rsidRPr="001E3BFE">
              <w:t xml:space="preserve">  </w:t>
            </w:r>
          </w:p>
        </w:tc>
        <w:tc>
          <w:tcPr>
            <w:tcW w:w="7128" w:type="dxa"/>
          </w:tcPr>
          <w:p w:rsidR="00635C8E" w:rsidRPr="001E3BFE" w:rsidRDefault="00030486" w:rsidP="00445270">
            <w:pPr>
              <w:pStyle w:val="a5"/>
              <w:jc w:val="right"/>
              <w:rPr>
                <w:rtl/>
              </w:rPr>
            </w:pPr>
            <w:r w:rsidRPr="001E3BFE">
              <w:rPr>
                <w:rtl/>
              </w:rPr>
              <w:t xml:space="preserve"> </w:t>
            </w:r>
          </w:p>
        </w:tc>
      </w:tr>
      <w:tr w:rsidR="00445270" w:rsidRPr="001E3BFE" w:rsidTr="00EE410A">
        <w:trPr>
          <w:trHeight w:val="337"/>
          <w:jc w:val="center"/>
        </w:trPr>
        <w:tc>
          <w:tcPr>
            <w:tcW w:w="1592" w:type="dxa"/>
          </w:tcPr>
          <w:p w:rsidR="00445270" w:rsidRPr="001E3BFE" w:rsidRDefault="00445270" w:rsidP="00E620AB">
            <w:pPr>
              <w:pStyle w:val="a5"/>
              <w:bidi w:val="0"/>
              <w:jc w:val="both"/>
            </w:pPr>
          </w:p>
        </w:tc>
        <w:tc>
          <w:tcPr>
            <w:tcW w:w="7128" w:type="dxa"/>
            <w:vAlign w:val="center"/>
          </w:tcPr>
          <w:p w:rsidR="00445270" w:rsidRPr="001E3BFE" w:rsidRDefault="00833BD9" w:rsidP="00EE410A">
            <w:pPr>
              <w:pStyle w:val="a5"/>
              <w:jc w:val="right"/>
              <w:rPr>
                <w:b/>
                <w:bCs/>
                <w:rtl/>
              </w:rPr>
            </w:pPr>
            <w:r w:rsidRPr="001E3BFE">
              <w:rPr>
                <w:b/>
                <w:bCs/>
                <w:rtl/>
              </w:rPr>
              <w:t xml:space="preserve">                      </w:t>
            </w:r>
            <w:r w:rsidR="00445270" w:rsidRPr="001E3BFE">
              <w:rPr>
                <w:b/>
                <w:bCs/>
                <w:rtl/>
              </w:rPr>
              <w:t xml:space="preserve"> </w:t>
            </w:r>
            <w:sdt>
              <w:sdtPr>
                <w:rPr>
                  <w:b/>
                  <w:bCs/>
                  <w:rtl/>
                </w:rPr>
                <w:alias w:val="2936"/>
                <w:tag w:val="2936"/>
                <w:id w:val="1457141060"/>
                <w:placeholder>
                  <w:docPart w:val="320E3BAAD785489EAD1336ADB75BB3E7"/>
                </w:placeholder>
                <w:text w:multiLine="1"/>
              </w:sdtPr>
              <w:sdtEndPr/>
              <w:sdtContent>
                <w:r w:rsidRPr="001E3BFE">
                  <w:rPr>
                    <w:b/>
                    <w:bCs/>
                    <w:rtl/>
                  </w:rPr>
                  <w:t xml:space="preserve">מספר </w:t>
                </w:r>
                <w:proofErr w:type="spellStart"/>
                <w:r w:rsidRPr="001E3BFE">
                  <w:rPr>
                    <w:b/>
                    <w:bCs/>
                    <w:rtl/>
                  </w:rPr>
                  <w:t>פל"א</w:t>
                </w:r>
                <w:proofErr w:type="spellEnd"/>
              </w:sdtContent>
            </w:sdt>
            <w:r w:rsidR="00445270" w:rsidRPr="001E3BFE">
              <w:rPr>
                <w:b/>
                <w:bCs/>
                <w:rtl/>
              </w:rPr>
              <w:t xml:space="preserve"> </w:t>
            </w:r>
            <w:sdt>
              <w:sdtPr>
                <w:rPr>
                  <w:b/>
                  <w:bCs/>
                  <w:rtl/>
                </w:rPr>
                <w:alias w:val="2935"/>
                <w:tag w:val="2935"/>
                <w:id w:val="474333146"/>
                <w:placeholder>
                  <w:docPart w:val="A226718737514239AF3DD844B205A56A"/>
                </w:placeholder>
                <w:text w:multiLine="1"/>
              </w:sdtPr>
              <w:sdtEndPr/>
              <w:sdtContent>
                <w:r w:rsidRPr="001E3BFE">
                  <w:rPr>
                    <w:b/>
                    <w:bCs/>
                  </w:rPr>
                  <w:t>813554/2020</w:t>
                </w:r>
              </w:sdtContent>
            </w:sdt>
          </w:p>
        </w:tc>
      </w:tr>
      <w:tr w:rsidR="008411C5" w:rsidRPr="001E3BFE" w:rsidTr="001D399C">
        <w:trPr>
          <w:trHeight w:val="337"/>
          <w:jc w:val="center"/>
        </w:trPr>
        <w:tc>
          <w:tcPr>
            <w:tcW w:w="1592" w:type="dxa"/>
          </w:tcPr>
          <w:p w:rsidR="008411C5" w:rsidRPr="001E3BFE" w:rsidRDefault="008411C5" w:rsidP="00E620AB">
            <w:pPr>
              <w:pStyle w:val="a5"/>
              <w:bidi w:val="0"/>
              <w:jc w:val="both"/>
            </w:pPr>
          </w:p>
        </w:tc>
        <w:tc>
          <w:tcPr>
            <w:tcW w:w="7128" w:type="dxa"/>
          </w:tcPr>
          <w:p w:rsidR="00DE753B" w:rsidRPr="001E3BFE" w:rsidRDefault="00DE753B">
            <w:pPr>
              <w:pStyle w:val="a5"/>
              <w:jc w:val="right"/>
              <w:rPr>
                <w:rtl/>
              </w:rPr>
            </w:pPr>
          </w:p>
        </w:tc>
      </w:tr>
    </w:tbl>
    <w:p w:rsidR="00EB1D9D" w:rsidRPr="001E3BFE" w:rsidRDefault="00EB1D9D" w:rsidP="009B24E2">
      <w:pPr>
        <w:suppressLineNumbers/>
        <w:rPr>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1E3BFE" w:rsidTr="001E3BFE">
        <w:trPr>
          <w:gridBefore w:val="1"/>
          <w:gridAfter w:val="1"/>
          <w:wBefore w:w="28" w:type="dxa"/>
          <w:wAfter w:w="56" w:type="dxa"/>
        </w:trPr>
        <w:tc>
          <w:tcPr>
            <w:tcW w:w="8718" w:type="dxa"/>
            <w:gridSpan w:val="2"/>
          </w:tcPr>
          <w:p w:rsidR="00163279" w:rsidRPr="001E3BFE" w:rsidRDefault="00F941D7" w:rsidP="007F46CA">
            <w:pPr>
              <w:jc w:val="left"/>
              <w:rPr>
                <w:rFonts w:ascii="David" w:hAnsi="David" w:cs="David"/>
                <w:b/>
                <w:bCs/>
                <w:rtl/>
              </w:rPr>
            </w:pPr>
            <w:r w:rsidRPr="001E3BFE">
              <w:rPr>
                <w:rFonts w:ascii="David" w:hAnsi="David" w:cs="David"/>
                <w:b/>
                <w:bCs/>
                <w:rtl/>
              </w:rPr>
              <w:t>לפני כבוד</w:t>
            </w:r>
            <w:r w:rsidR="00C50277" w:rsidRPr="001E3BFE">
              <w:rPr>
                <w:rFonts w:ascii="David" w:hAnsi="David" w:cs="David"/>
                <w:b/>
                <w:bCs/>
                <w:rtl/>
              </w:rPr>
              <w:t xml:space="preserve"> ה</w:t>
            </w:r>
            <w:sdt>
              <w:sdtPr>
                <w:rPr>
                  <w:rtl/>
                </w:rPr>
                <w:alias w:val="165"/>
                <w:tag w:val="165"/>
                <w:id w:val="319463490"/>
                <w:text w:multiLine="1"/>
              </w:sdtPr>
              <w:sdtEndPr/>
              <w:sdtContent>
                <w:r w:rsidRPr="001E3BFE">
                  <w:rPr>
                    <w:rFonts w:ascii="David" w:hAnsi="David" w:cs="David"/>
                    <w:b/>
                    <w:bCs/>
                    <w:rtl/>
                  </w:rPr>
                  <w:t xml:space="preserve">שופטת - נשיאה רות </w:t>
                </w:r>
                <w:proofErr w:type="spellStart"/>
                <w:r w:rsidRPr="001E3BFE">
                  <w:rPr>
                    <w:rFonts w:ascii="David" w:hAnsi="David" w:cs="David"/>
                    <w:b/>
                    <w:bCs/>
                    <w:rtl/>
                  </w:rPr>
                  <w:t>לורך</w:t>
                </w:r>
                <w:proofErr w:type="spellEnd"/>
                <w:r w:rsidRPr="001E3BFE">
                  <w:rPr>
                    <w:rFonts w:ascii="David" w:hAnsi="David" w:cs="David"/>
                    <w:b/>
                    <w:bCs/>
                    <w:rtl/>
                  </w:rPr>
                  <w:t>, שופטת דבורה עטר, שופט עמי קובו</w:t>
                </w:r>
              </w:sdtContent>
            </w:sdt>
            <w:r w:rsidR="00C50277" w:rsidRPr="001E3BFE">
              <w:rPr>
                <w:rStyle w:val="TimesNewRomanTimesNewRoman"/>
                <w:rFonts w:ascii="David" w:hAnsi="David"/>
                <w:sz w:val="24"/>
                <w:szCs w:val="24"/>
                <w:rtl/>
              </w:rPr>
              <w:t xml:space="preserve"> </w:t>
            </w:r>
          </w:p>
        </w:tc>
      </w:tr>
      <w:tr w:rsidR="00EB1D9D" w:rsidRPr="001E3BFE" w:rsidTr="002736EA">
        <w:trPr>
          <w:cantSplit/>
          <w:trHeight w:val="724"/>
        </w:trPr>
        <w:tc>
          <w:tcPr>
            <w:tcW w:w="2880" w:type="dxa"/>
            <w:gridSpan w:val="2"/>
          </w:tcPr>
          <w:p w:rsidR="005832BA" w:rsidRPr="001E3BFE" w:rsidRDefault="005832BA" w:rsidP="007F46CA">
            <w:pPr>
              <w:ind w:left="26"/>
              <w:jc w:val="left"/>
              <w:rPr>
                <w:rFonts w:ascii="David" w:hAnsi="David" w:cs="David"/>
                <w:b/>
                <w:bCs/>
                <w:rtl/>
              </w:rPr>
            </w:pPr>
          </w:p>
          <w:p w:rsidR="00EB1D9D" w:rsidRPr="001E3BFE" w:rsidRDefault="00E679BB" w:rsidP="007F46CA">
            <w:pPr>
              <w:ind w:left="26"/>
              <w:jc w:val="left"/>
              <w:rPr>
                <w:rFonts w:ascii="David" w:hAnsi="David" w:cs="David"/>
                <w:b/>
                <w:bCs/>
                <w:rtl/>
              </w:rPr>
            </w:pPr>
            <w:r w:rsidRPr="001E3BFE">
              <w:rPr>
                <w:rFonts w:ascii="David" w:hAnsi="David" w:cs="David"/>
                <w:b/>
                <w:bCs/>
                <w:rtl/>
              </w:rPr>
              <w:t>ה</w:t>
            </w:r>
            <w:sdt>
              <w:sdtPr>
                <w:rPr>
                  <w:b/>
                  <w:bCs/>
                  <w:rtl/>
                </w:rPr>
                <w:alias w:val="1264"/>
                <w:tag w:val="1264"/>
                <w:id w:val="-678505577"/>
                <w:placeholder>
                  <w:docPart w:val="B51005572D254E90B6965C1D7CB1468E"/>
                </w:placeholder>
                <w:text w:multiLine="1"/>
              </w:sdtPr>
              <w:sdtEndPr/>
              <w:sdtContent>
                <w:r w:rsidRPr="001E3BFE">
                  <w:rPr>
                    <w:rFonts w:ascii="David" w:hAnsi="David" w:cs="David"/>
                    <w:b/>
                    <w:bCs/>
                    <w:rtl/>
                  </w:rPr>
                  <w:t>מאשימה</w:t>
                </w:r>
              </w:sdtContent>
            </w:sdt>
          </w:p>
        </w:tc>
        <w:tc>
          <w:tcPr>
            <w:tcW w:w="5922" w:type="dxa"/>
            <w:gridSpan w:val="2"/>
          </w:tcPr>
          <w:p w:rsidR="005832BA" w:rsidRPr="001E3BFE" w:rsidRDefault="005832BA" w:rsidP="007F46CA">
            <w:pPr>
              <w:jc w:val="left"/>
              <w:rPr>
                <w:rFonts w:ascii="David" w:hAnsi="David" w:cs="David"/>
                <w:rtl/>
              </w:rPr>
            </w:pPr>
          </w:p>
          <w:p w:rsidR="00EB1D9D" w:rsidRPr="001E3BFE" w:rsidRDefault="00F30675" w:rsidP="001E3BFE">
            <w:pPr>
              <w:jc w:val="left"/>
              <w:rPr>
                <w:rFonts w:ascii="David" w:hAnsi="David" w:cs="David"/>
                <w:b/>
                <w:bCs/>
                <w:rtl/>
              </w:rPr>
            </w:pPr>
            <w:r w:rsidRPr="001E3BFE">
              <w:rPr>
                <w:rFonts w:ascii="David" w:hAnsi="David" w:cs="David"/>
                <w:rtl/>
              </w:rPr>
              <w:t xml:space="preserve"> </w:t>
            </w:r>
            <w:sdt>
              <w:sdtPr>
                <w:rPr>
                  <w:rtl/>
                </w:rPr>
                <w:alias w:val="825"/>
                <w:tag w:val="825"/>
                <w:id w:val="-2140873446"/>
                <w:showingPlcHdr/>
                <w:text w:multiLine="1"/>
              </w:sdtPr>
              <w:sdtEndPr/>
              <w:sdtContent>
                <w:r w:rsidR="001E3BFE" w:rsidRPr="001E3BFE">
                  <w:rPr>
                    <w:rFonts w:ascii="David" w:hAnsi="David" w:cs="David"/>
                    <w:rtl/>
                  </w:rPr>
                  <w:t xml:space="preserve">     </w:t>
                </w:r>
              </w:sdtContent>
            </w:sdt>
            <w:r w:rsidR="0089339C" w:rsidRPr="001E3BFE">
              <w:rPr>
                <w:rFonts w:ascii="David" w:hAnsi="David" w:cs="David"/>
                <w:b/>
                <w:bCs/>
                <w:rtl/>
              </w:rPr>
              <w:t xml:space="preserve"> </w:t>
            </w:r>
            <w:sdt>
              <w:sdtPr>
                <w:rPr>
                  <w:b/>
                  <w:bCs/>
                  <w:rtl/>
                </w:rPr>
                <w:alias w:val="2686"/>
                <w:tag w:val="2686"/>
                <w:id w:val="-38594229"/>
                <w:placeholder>
                  <w:docPart w:val="084A8D0F09AC41E58E6E3C2052F2B92D"/>
                </w:placeholder>
                <w:text w:multiLine="1"/>
              </w:sdtPr>
              <w:sdtEndPr/>
              <w:sdtContent>
                <w:r w:rsidR="0089339C" w:rsidRPr="001E3BFE">
                  <w:rPr>
                    <w:rFonts w:ascii="David" w:hAnsi="David" w:cs="David"/>
                    <w:b/>
                    <w:bCs/>
                    <w:rtl/>
                  </w:rPr>
                  <w:t>מדינת ישראל</w:t>
                </w:r>
              </w:sdtContent>
            </w:sdt>
            <w:r w:rsidR="0089339C" w:rsidRPr="001E3BFE">
              <w:rPr>
                <w:rFonts w:ascii="David" w:hAnsi="David" w:cs="David"/>
                <w:b/>
                <w:bCs/>
                <w:rtl/>
              </w:rPr>
              <w:t xml:space="preserve"> </w:t>
            </w:r>
            <w:sdt>
              <w:sdtPr>
                <w:rPr>
                  <w:b/>
                  <w:bCs/>
                  <w:rtl/>
                </w:rPr>
                <w:alias w:val="2688"/>
                <w:tag w:val="2688"/>
                <w:id w:val="-1957249425"/>
                <w:placeholder>
                  <w:docPart w:val="F62389D86E2542B8B6FC43D6EDFA6E50"/>
                </w:placeholder>
                <w:text w:multiLine="1"/>
              </w:sdtPr>
              <w:sdtEndPr/>
              <w:sdtContent/>
            </w:sdt>
          </w:p>
        </w:tc>
      </w:tr>
      <w:tr w:rsidR="00EB1D9D" w:rsidRPr="001E3BFE" w:rsidTr="00C667A1">
        <w:tc>
          <w:tcPr>
            <w:tcW w:w="8802" w:type="dxa"/>
            <w:gridSpan w:val="4"/>
            <w:vAlign w:val="center"/>
          </w:tcPr>
          <w:p w:rsidR="00C667A1" w:rsidRPr="001E3BFE" w:rsidRDefault="00C667A1" w:rsidP="007F46CA">
            <w:pPr>
              <w:jc w:val="center"/>
              <w:rPr>
                <w:rFonts w:ascii="David" w:hAnsi="David" w:cs="David"/>
                <w:b/>
                <w:bCs/>
                <w:rtl/>
              </w:rPr>
            </w:pPr>
          </w:p>
          <w:p w:rsidR="00EB1D9D" w:rsidRPr="001E3BFE" w:rsidRDefault="00E679BB" w:rsidP="007F46CA">
            <w:pPr>
              <w:jc w:val="center"/>
              <w:rPr>
                <w:rFonts w:ascii="David" w:hAnsi="David" w:cs="David"/>
                <w:b/>
                <w:bCs/>
                <w:rtl/>
              </w:rPr>
            </w:pPr>
            <w:r w:rsidRPr="001E3BFE">
              <w:rPr>
                <w:rFonts w:ascii="David" w:hAnsi="David" w:cs="David"/>
                <w:b/>
                <w:bCs/>
                <w:rtl/>
              </w:rPr>
              <w:t>נגד</w:t>
            </w:r>
          </w:p>
          <w:p w:rsidR="00EB1D9D" w:rsidRPr="001E3BFE" w:rsidRDefault="00EB1D9D" w:rsidP="007F46CA">
            <w:pPr>
              <w:jc w:val="left"/>
              <w:rPr>
                <w:rFonts w:ascii="David" w:hAnsi="David" w:cs="David"/>
                <w:b/>
                <w:bCs/>
              </w:rPr>
            </w:pPr>
          </w:p>
        </w:tc>
      </w:tr>
      <w:tr w:rsidR="00EB1D9D" w:rsidRPr="001E3BFE" w:rsidTr="002736EA">
        <w:tc>
          <w:tcPr>
            <w:tcW w:w="2880" w:type="dxa"/>
            <w:gridSpan w:val="2"/>
          </w:tcPr>
          <w:p w:rsidR="00EB1D9D" w:rsidRPr="001E3BFE" w:rsidRDefault="00E679BB" w:rsidP="001E3BFE">
            <w:pPr>
              <w:ind w:left="26"/>
              <w:jc w:val="left"/>
              <w:rPr>
                <w:rFonts w:ascii="David" w:hAnsi="David" w:cs="David"/>
                <w:b/>
                <w:bCs/>
                <w:rtl/>
              </w:rPr>
            </w:pPr>
            <w:r w:rsidRPr="001E3BFE">
              <w:rPr>
                <w:rFonts w:ascii="David" w:hAnsi="David" w:cs="David"/>
                <w:b/>
                <w:bCs/>
                <w:rtl/>
              </w:rPr>
              <w:t>ה</w:t>
            </w:r>
            <w:sdt>
              <w:sdtPr>
                <w:rPr>
                  <w:b/>
                  <w:bCs/>
                  <w:rtl/>
                </w:rPr>
                <w:alias w:val="1265"/>
                <w:tag w:val="1265"/>
                <w:id w:val="-275248279"/>
                <w:placeholder>
                  <w:docPart w:val="C2A59D83C1BC4349BE30C2AF864805C1"/>
                </w:placeholder>
                <w:text w:multiLine="1"/>
              </w:sdtPr>
              <w:sdtEndPr/>
              <w:sdtContent>
                <w:r w:rsidRPr="001E3BFE">
                  <w:rPr>
                    <w:rFonts w:ascii="David" w:hAnsi="David" w:cs="David"/>
                    <w:b/>
                    <w:bCs/>
                    <w:rtl/>
                  </w:rPr>
                  <w:t>נאשם</w:t>
                </w:r>
              </w:sdtContent>
            </w:sdt>
          </w:p>
        </w:tc>
        <w:tc>
          <w:tcPr>
            <w:tcW w:w="5922" w:type="dxa"/>
            <w:gridSpan w:val="2"/>
          </w:tcPr>
          <w:p w:rsidR="001705B8" w:rsidRPr="001E3BFE" w:rsidRDefault="00F30675" w:rsidP="00D53DAC">
            <w:pPr>
              <w:jc w:val="left"/>
              <w:rPr>
                <w:rFonts w:ascii="David" w:hAnsi="David" w:cs="David"/>
                <w:b/>
                <w:bCs/>
                <w:rtl/>
              </w:rPr>
            </w:pPr>
            <w:r w:rsidRPr="001E3BFE">
              <w:rPr>
                <w:rFonts w:ascii="David" w:hAnsi="David" w:cs="David"/>
                <w:rtl/>
              </w:rPr>
              <w:t xml:space="preserve"> </w:t>
            </w:r>
            <w:r w:rsidR="00D53DAC">
              <w:rPr>
                <w:rFonts w:ascii="David" w:hAnsi="David" w:cs="David" w:hint="cs"/>
                <w:b/>
                <w:bCs/>
                <w:rtl/>
              </w:rPr>
              <w:t>פלוני</w:t>
            </w:r>
            <w:r w:rsidR="00340759" w:rsidRPr="001E3BFE">
              <w:rPr>
                <w:rFonts w:ascii="David" w:hAnsi="David" w:cs="David"/>
                <w:b/>
                <w:bCs/>
                <w:rtl/>
              </w:rPr>
              <w:t xml:space="preserve"> </w:t>
            </w:r>
          </w:p>
          <w:p w:rsidR="00EB1D9D" w:rsidRPr="001E3BFE" w:rsidRDefault="00EB1D9D" w:rsidP="007F46CA">
            <w:pPr>
              <w:jc w:val="left"/>
              <w:rPr>
                <w:rFonts w:ascii="David" w:hAnsi="David" w:cs="David"/>
                <w:b/>
                <w:bCs/>
                <w:rtl/>
              </w:rPr>
            </w:pPr>
          </w:p>
        </w:tc>
      </w:tr>
    </w:tbl>
    <w:p w:rsidR="00320815" w:rsidRPr="001E3BFE" w:rsidRDefault="00320815">
      <w:pPr>
        <w:pStyle w:val="12"/>
        <w:rPr>
          <w:rFonts w:ascii="David" w:hAnsi="David"/>
          <w:rtl/>
        </w:rPr>
      </w:pPr>
      <w:r w:rsidRPr="001E3BFE">
        <w:rPr>
          <w:rFonts w:ascii="David" w:hAnsi="David"/>
          <w:rtl/>
        </w:rPr>
        <w:t>נוכחים:</w:t>
      </w:r>
    </w:p>
    <w:p w:rsidR="00320815" w:rsidRPr="001E3BFE" w:rsidRDefault="001E3BFE">
      <w:pPr>
        <w:pStyle w:val="12"/>
        <w:rPr>
          <w:rFonts w:ascii="David" w:hAnsi="David"/>
          <w:b w:val="0"/>
          <w:bCs w:val="0"/>
          <w:u w:val="none"/>
          <w:rtl/>
        </w:rPr>
      </w:pPr>
      <w:r w:rsidRPr="001E3BFE">
        <w:rPr>
          <w:rFonts w:ascii="David" w:hAnsi="David"/>
          <w:b w:val="0"/>
          <w:bCs w:val="0"/>
          <w:u w:val="none"/>
          <w:rtl/>
        </w:rPr>
        <w:t>ב"כ המאשימה עו"ד</w:t>
      </w:r>
      <w:r w:rsidRPr="001E3BFE">
        <w:rPr>
          <w:rFonts w:ascii="David" w:hAnsi="David" w:hint="cs"/>
          <w:b w:val="0"/>
          <w:bCs w:val="0"/>
          <w:u w:val="none"/>
          <w:rtl/>
        </w:rPr>
        <w:t xml:space="preserve"> מיכאל סטופ</w:t>
      </w:r>
    </w:p>
    <w:p w:rsidR="001E3BFE" w:rsidRPr="001E3BFE" w:rsidRDefault="001E3BFE">
      <w:pPr>
        <w:pStyle w:val="12"/>
        <w:rPr>
          <w:rFonts w:ascii="David" w:hAnsi="David"/>
          <w:b w:val="0"/>
          <w:bCs w:val="0"/>
          <w:u w:val="none"/>
          <w:rtl/>
        </w:rPr>
      </w:pPr>
      <w:r w:rsidRPr="001E3BFE">
        <w:rPr>
          <w:rFonts w:ascii="David" w:hAnsi="David"/>
          <w:b w:val="0"/>
          <w:bCs w:val="0"/>
          <w:u w:val="none"/>
          <w:rtl/>
        </w:rPr>
        <w:t xml:space="preserve">הנאשם וב"כ עו"ד גל שרטוב </w:t>
      </w:r>
    </w:p>
    <w:p w:rsidR="001E3BFE" w:rsidRDefault="001E3BFE" w:rsidP="001E3BFE">
      <w:pPr>
        <w:pStyle w:val="12"/>
        <w:jc w:val="both"/>
        <w:rPr>
          <w:rFonts w:ascii="David" w:hAnsi="David"/>
          <w:b w:val="0"/>
          <w:bCs w:val="0"/>
          <w:u w:val="none"/>
          <w:rtl/>
        </w:rPr>
      </w:pPr>
    </w:p>
    <w:p w:rsidR="001E3BFE" w:rsidRDefault="001E3BFE" w:rsidP="001E3BFE">
      <w:pPr>
        <w:pStyle w:val="12"/>
        <w:jc w:val="both"/>
        <w:rPr>
          <w:rFonts w:ascii="David" w:hAnsi="David"/>
          <w:b w:val="0"/>
          <w:bCs w:val="0"/>
          <w:sz w:val="6"/>
          <w:szCs w:val="6"/>
          <w:u w:val="none"/>
          <w:rtl/>
        </w:rPr>
      </w:pPr>
      <w:r>
        <w:rPr>
          <w:rFonts w:ascii="David" w:hAnsi="David"/>
          <w:b w:val="0"/>
          <w:bCs w:val="0"/>
          <w:sz w:val="6"/>
          <w:szCs w:val="6"/>
          <w:u w:val="none"/>
          <w:rtl/>
        </w:rPr>
        <w:t>&lt;#5#&gt;</w:t>
      </w:r>
    </w:p>
    <w:p w:rsidR="001E3BFE" w:rsidRDefault="001E3BFE">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1E3BFE" w:rsidRPr="001E3BFE" w:rsidRDefault="001E3BFE" w:rsidP="001E3BFE">
      <w:pPr>
        <w:pStyle w:val="ae"/>
        <w:rPr>
          <w:rFonts w:ascii="David" w:hAnsi="David"/>
        </w:rPr>
      </w:pPr>
      <w:r w:rsidRPr="001E3BFE">
        <w:rPr>
          <w:rFonts w:ascii="David" w:hAnsi="David"/>
          <w:rtl/>
        </w:rPr>
        <w:t>רקע</w:t>
      </w:r>
    </w:p>
    <w:p w:rsidR="001E3BFE" w:rsidRPr="001E3BFE" w:rsidRDefault="001E3BFE" w:rsidP="001E3BFE">
      <w:pPr>
        <w:pStyle w:val="a0"/>
        <w:tabs>
          <w:tab w:val="num" w:pos="1274"/>
        </w:tabs>
        <w:jc w:val="both"/>
      </w:pPr>
      <w:r w:rsidRPr="001E3BFE">
        <w:rPr>
          <w:rtl/>
        </w:rPr>
        <w:t xml:space="preserve">גזירת דינו של סב חורג אשר ביצע מעשים מגונים בנכדתה של רעייתו, בעת שהייתה בת 10, במועדים שאינם ידועים במדויק, הורה לה להוריד את בגדיה, ולאחר שעשתה כן נגע באיבר מינהּ ובחזהּ. </w:t>
      </w:r>
    </w:p>
    <w:p w:rsidR="001E3BFE" w:rsidRPr="001E3BFE" w:rsidRDefault="001E3BFE" w:rsidP="001E3BFE">
      <w:pPr>
        <w:pStyle w:val="a0"/>
        <w:tabs>
          <w:tab w:val="num" w:pos="1274"/>
        </w:tabs>
        <w:jc w:val="both"/>
        <w:rPr>
          <w:rtl/>
        </w:rPr>
      </w:pPr>
      <w:r w:rsidRPr="001E3BFE">
        <w:rPr>
          <w:rtl/>
        </w:rPr>
        <w:t xml:space="preserve">הנאשם הורשע בהתאם להודאתו בעובדות כתב האישום בביצוע שתי עבירות של </w:t>
      </w:r>
      <w:r w:rsidRPr="001E3BFE">
        <w:rPr>
          <w:b/>
          <w:bCs/>
          <w:rtl/>
        </w:rPr>
        <w:t>מעשה מגונה בקטינה בת משפחה</w:t>
      </w:r>
      <w:r w:rsidRPr="001E3BFE">
        <w:rPr>
          <w:rtl/>
        </w:rPr>
        <w:t>,</w:t>
      </w:r>
      <w:r w:rsidRPr="001E3BFE">
        <w:rPr>
          <w:b/>
          <w:bCs/>
          <w:rtl/>
        </w:rPr>
        <w:t xml:space="preserve"> </w:t>
      </w:r>
      <w:r w:rsidRPr="001E3BFE">
        <w:rPr>
          <w:rtl/>
        </w:rPr>
        <w:t xml:space="preserve">לפי סעיף 351(ג)(2) בנסיבות סעיף 348(ב), סעיף 345(ב)(1) וסעיף 345(א)(1) לחוק העונשין, תשל"ז-1977 (להלן: </w:t>
      </w:r>
      <w:r w:rsidRPr="001E3BFE">
        <w:rPr>
          <w:b/>
          <w:bCs/>
          <w:rtl/>
        </w:rPr>
        <w:t>החוק</w:t>
      </w:r>
      <w:r w:rsidRPr="001E3BFE">
        <w:rPr>
          <w:rtl/>
        </w:rPr>
        <w:t xml:space="preserve">).   </w:t>
      </w:r>
    </w:p>
    <w:p w:rsidR="001E3BFE" w:rsidRPr="001E3BFE" w:rsidRDefault="001E3BFE" w:rsidP="001E3BFE">
      <w:pPr>
        <w:pStyle w:val="a0"/>
        <w:jc w:val="both"/>
      </w:pPr>
      <w:r w:rsidRPr="001E3BFE">
        <w:rPr>
          <w:rtl/>
        </w:rPr>
        <w:t xml:space="preserve">על פי המתואר בעובדות כתב האישום, הנאשם היה נשוי לסבתה של הקטינה (ילידת 2010). במהלך שנת 2020, במועדים שאינם ידועים במדויק, בהיותם בבית הנאשם והסבתא, הורה הנאשם לקטינה להוריד את בגדיה, היא עשתה כן והנאשם נגע בחזהּ ובאיבר מינהּ. הקטינה ביקשה מהנאשם לחדול ממעשיו והוא עשה כן, וביקש ממנה שלא תספר על מעשיו לאיש. </w:t>
      </w:r>
    </w:p>
    <w:p w:rsidR="001E3BFE" w:rsidRPr="001E3BFE" w:rsidRDefault="001E3BFE" w:rsidP="001E3BFE">
      <w:pPr>
        <w:pStyle w:val="a0"/>
        <w:numPr>
          <w:ilvl w:val="0"/>
          <w:numId w:val="0"/>
        </w:numPr>
        <w:tabs>
          <w:tab w:val="left" w:pos="720"/>
        </w:tabs>
        <w:ind w:left="720"/>
        <w:jc w:val="both"/>
      </w:pPr>
      <w:r w:rsidRPr="001E3BFE">
        <w:rPr>
          <w:rtl/>
        </w:rPr>
        <w:t xml:space="preserve">בחודש יולי 20' שהתה הקטינה עם אחיה בבית הנאשם. לבקשת אֵם הקטינה, הנאשם הסיע את הקטינה לביתה ובהיותם לבד בבית, הורה לה להוריד את בגדיה, ונגע בחזהּ ובאיבר מינה. הקטינה ביקשה מהנאשם לחדול ממעשיו והוא עשה כן, וביקש שלא תספר על מעשיו לאיש. </w:t>
      </w:r>
    </w:p>
    <w:p w:rsidR="001E3BFE" w:rsidRPr="001E3BFE" w:rsidRDefault="001E3BFE" w:rsidP="001E3BFE">
      <w:pPr>
        <w:pStyle w:val="a0"/>
        <w:jc w:val="both"/>
      </w:pPr>
      <w:r w:rsidRPr="001E3BFE">
        <w:rPr>
          <w:rtl/>
        </w:rPr>
        <w:t xml:space="preserve">הצדדים הגיעו להסדר טיעון, לפיו הנאשם הודה והורשע בכתב האישום והופנה לקבלת תסקיר שירות המבחן. עוד הוסכם כי הנאשם יפקיד מבעוד מועד סך של 75,000 ₪ עבור פיצוי לנפגעת העבירה וכי המאשימה תגביל את עתירתה לעונש של 4 שנות מאסר בפועל. </w:t>
      </w:r>
    </w:p>
    <w:p w:rsidR="001E3BFE" w:rsidRPr="001E3BFE" w:rsidRDefault="001E3BFE" w:rsidP="001E3BFE">
      <w:pPr>
        <w:pStyle w:val="a0"/>
        <w:numPr>
          <w:ilvl w:val="0"/>
          <w:numId w:val="0"/>
        </w:numPr>
        <w:tabs>
          <w:tab w:val="left" w:pos="720"/>
        </w:tabs>
        <w:ind w:left="720" w:hanging="721"/>
        <w:jc w:val="both"/>
        <w:rPr>
          <w:b/>
          <w:bCs/>
          <w:u w:val="single"/>
          <w:rtl/>
        </w:rPr>
      </w:pPr>
      <w:r w:rsidRPr="001E3BFE">
        <w:rPr>
          <w:b/>
          <w:bCs/>
          <w:u w:val="single"/>
          <w:rtl/>
        </w:rPr>
        <w:lastRenderedPageBreak/>
        <w:t>טיעוני הצדדים</w:t>
      </w:r>
    </w:p>
    <w:p w:rsidR="001E3BFE" w:rsidRPr="001E3BFE" w:rsidRDefault="001E3BFE" w:rsidP="001E3BFE">
      <w:pPr>
        <w:pStyle w:val="a0"/>
        <w:jc w:val="both"/>
      </w:pPr>
      <w:r w:rsidRPr="001E3BFE">
        <w:rPr>
          <w:rtl/>
        </w:rPr>
        <w:t xml:space="preserve">ב"כ המאשימה, עו"ד לירון שטרית, עתרה למתחם עונש הולם שהרף התחתון שלו הוא העונש המזערי הקבוע בחוק – קרי 3 שנים ותשעה חודשים, ועד ל-5.5 שנות מאסר בפועל. זאת על רקע עוצמת הפגיעה הגבוהה בערכים המוגנים, בנסיבות של תכנון העבירה כאשר הנאשם דאג לכך שישהה ביחידות עם הקטינה, ביקש ממנה להסיר את בגדיה ושלא תספר על מעשיו. מדובר בשני </w:t>
      </w:r>
      <w:proofErr w:type="spellStart"/>
      <w:r w:rsidRPr="001E3BFE">
        <w:rPr>
          <w:rtl/>
        </w:rPr>
        <w:t>אישומים</w:t>
      </w:r>
      <w:proofErr w:type="spellEnd"/>
      <w:r w:rsidRPr="001E3BFE">
        <w:rPr>
          <w:rtl/>
        </w:rPr>
        <w:t xml:space="preserve"> שבוצעו בנסיבות דומות בביתו ובבית הקטינה. פער הגילאים והקרבה המשפחתית הן נסיבות לחומרה. הנזק שנגרם לקטינה ולבני משפחתה הוא משמעותי. נוכח האמור ובהתאם לפסיקה הנוהגת עתרה המאשימה למתחם כאמור. </w:t>
      </w:r>
    </w:p>
    <w:p w:rsidR="001E3BFE" w:rsidRPr="001E3BFE" w:rsidRDefault="001E3BFE" w:rsidP="001E3BFE">
      <w:pPr>
        <w:pStyle w:val="a0"/>
        <w:numPr>
          <w:ilvl w:val="0"/>
          <w:numId w:val="0"/>
        </w:numPr>
        <w:tabs>
          <w:tab w:val="left" w:pos="720"/>
        </w:tabs>
        <w:ind w:left="720"/>
        <w:jc w:val="both"/>
        <w:rPr>
          <w:rtl/>
        </w:rPr>
      </w:pPr>
      <w:r w:rsidRPr="001E3BFE">
        <w:rPr>
          <w:rtl/>
        </w:rPr>
        <w:t xml:space="preserve">באשר לנסיבותיו האישיות של הנאשם, המאשימה לקחה בחשבון את נטילת האחריות מצד הנאשם. התסקירים שהוגשו בעניינו אינם חיוביים. אף שהנאשם שיתף פעולה והגיע באופן סדיר, הוא התקשה לתאר בפני שירות המבחן את הטיפול ואת האופן שבו נתרם ממנו, הוא לא זיהה נזקקות טיפולית וההתרשמות הייתה ממוטיבציה נמוכה. בתסקיר הבא בא שירות המבחן בהמלצה שיקומית בפער לתסקיר הראשון. מהערכת המסוכנות עולות אמירות המצביעות על השתתפות חלקית ופחות נתרמת מהטיפול, הנאשם נמצא בשלב ראשוני באופן התייחסותו למצבו והוא מחזיק בעיוותי חשיבה – כל זאת לאחר שנתיים של טיפול. </w:t>
      </w:r>
    </w:p>
    <w:p w:rsidR="001E3BFE" w:rsidRPr="001E3BFE" w:rsidRDefault="001E3BFE" w:rsidP="001E3BFE">
      <w:pPr>
        <w:pStyle w:val="a0"/>
        <w:numPr>
          <w:ilvl w:val="0"/>
          <w:numId w:val="0"/>
        </w:numPr>
        <w:tabs>
          <w:tab w:val="left" w:pos="720"/>
        </w:tabs>
        <w:ind w:left="720"/>
        <w:jc w:val="both"/>
      </w:pPr>
      <w:r w:rsidRPr="001E3BFE">
        <w:rPr>
          <w:rtl/>
        </w:rPr>
        <w:t xml:space="preserve">הנאשם ביצע את העבירות בהיותו בן 70, הטענה שיש להתחשב בגילו בעת גזירת העונש היא בעייתית, מפני שמצבו הפיזי וגילו לא מנעו ממנו לבצע את העבירות, כך שאין מקום להתייחס לנתונים אלה כשיקול לקולה. ממסמכיו הרפואיים עולה שהוא סובל מסכרת מגיל 60. לפיכך, המאשימה עתרה להשית על הנאשם עונש של 4 שנות מאסר בפועל, מאסר על תנאי והפיצוי שהופקד. </w:t>
      </w:r>
    </w:p>
    <w:p w:rsidR="001E3BFE" w:rsidRPr="001E3BFE" w:rsidRDefault="001E3BFE" w:rsidP="001E3BFE">
      <w:pPr>
        <w:pStyle w:val="a0"/>
        <w:jc w:val="both"/>
        <w:rPr>
          <w:rtl/>
        </w:rPr>
      </w:pPr>
      <w:r w:rsidRPr="001E3BFE">
        <w:rPr>
          <w:rtl/>
        </w:rPr>
        <w:t xml:space="preserve">ב"כ הנאשם, גל שרטוב, טען כי מדובר במעשים שהם ברף התחתון בחומרתם, שבוצעו בסמיכות זמנים לפני כשלוש שנים. האירועים נקודתיים וקצרים, נגיעה בלבד באזורים אינטימיים והנאשם חדל ממעשיו מיד כאשר הקטינה ביקשה זאת. מעשיו בוצעו במצב של עיוות חשיבתי רגעי, לא מתוך דפוסי סטייה מושרשים. בנסיבות אלה יש לקבוע את הרף התחתון של מתחם העונש כך שיהיה נמוך מהעונש המזערי הקבוע בחוק באופן שניתן לרצותו בעבודות שירות. </w:t>
      </w:r>
    </w:p>
    <w:p w:rsidR="001E3BFE" w:rsidRPr="001E3BFE" w:rsidRDefault="001E3BFE" w:rsidP="001E3BFE">
      <w:pPr>
        <w:pStyle w:val="a0"/>
        <w:numPr>
          <w:ilvl w:val="0"/>
          <w:numId w:val="0"/>
        </w:numPr>
        <w:tabs>
          <w:tab w:val="left" w:pos="720"/>
        </w:tabs>
        <w:ind w:left="720"/>
        <w:jc w:val="both"/>
      </w:pPr>
      <w:r w:rsidRPr="001E3BFE">
        <w:rPr>
          <w:rtl/>
        </w:rPr>
        <w:t xml:space="preserve">הנאשם נטל אחריות, יזם השתלבות בטיפול תוך תשלום מחירים מורכבים מצדו. כל חייו היה אדם חיובי, תורם, עבד עשרות שנים בשב"ס והקים משפחה לתפארת. מעולם לא הסתבך בדבר. חלף זמן רב מאז המקרה האחרון ועד שהוא זומן לחקירה ולמרות זאת הוא לא המשיך במעשיו. יש לראות את חלוף הזמן מאז העבירה כחלק מהליך השיקום. הנאשם הודה מיד וחסך זמן שיפוטי ואת עדות המתלוננת. כתב האישום לא תוקן, כך שמדובר בנטילת אחריות </w:t>
      </w:r>
      <w:r w:rsidRPr="001E3BFE">
        <w:rPr>
          <w:rtl/>
        </w:rPr>
        <w:lastRenderedPageBreak/>
        <w:t xml:space="preserve">מלאה. הודאתו מסייעת לשיקום המתלוננת. הנאשם מביע חרטה כנה ועמוקה ומבקש לכפר על מעשיו. הנאשם עובר הליך שיקום ארוך. הנאשם עבד כשלוש שנים כאזרח עובד צה"ל וסיים את שירותו בשל בעיה רפואית. נחשף למצבים קשים. נישואיו הראשונים נמשכו 30 שנה, דבר המעיד על היותו איש משפחה נורמטיבי. היה בזוגיות עם סבתה של המתלוננת במשך 14 שנים, מאז הוא התגרש ומתגורר בגפו בישוב מרוחק והוא מבודד. מצבו הכלכלי בכי רע, הוא מתקיים מקצבת ביטוח לאומי, והוא עומד כיום בבית המשפט ללא משפחתו וילדיו. את המחיר הנפשי שמשלם ישלם כל חייו. הנאשם מטפל באחיו החולה. הנאשם עצמו סובל מסכרת, יתר לחץ דם ומחלות נוספות וזקוק לטיפול רפואי צמוד. הוא סובל מפוסט טראומה משירותו הצבאי אך לא טופל בעניין זה. </w:t>
      </w:r>
    </w:p>
    <w:p w:rsidR="001E3BFE" w:rsidRPr="001E3BFE" w:rsidRDefault="001E3BFE" w:rsidP="001E3BFE">
      <w:pPr>
        <w:pStyle w:val="a0"/>
        <w:numPr>
          <w:ilvl w:val="0"/>
          <w:numId w:val="0"/>
        </w:numPr>
        <w:tabs>
          <w:tab w:val="left" w:pos="720"/>
        </w:tabs>
        <w:ind w:left="720"/>
        <w:jc w:val="both"/>
      </w:pPr>
      <w:r w:rsidRPr="001E3BFE">
        <w:rPr>
          <w:rtl/>
        </w:rPr>
        <w:t xml:space="preserve">ריצוי עונש בעבודות שירות, יביא להמשך הטיפול המבורך וזהו גם אינטרס הציבור. למאסר בפועל לאדם בגילו ובמצבו של הנאשם ובפרט שהיה איש שב"ס שנים רבות, השלכות קשות. המתח מההליך המשפטי השפיע על מצבו הנפשי והרפואי, הוא עבר צנתור דחוף אליו הובהל לאחר שהמתמוטט. אמנם שב"ס ערוכים להתמודד עם מצבו הרפואי, אך עדיין יש בכך סיכון עבורו. הנאשם ביקש לשלם את הפיצוי באופן </w:t>
      </w:r>
      <w:proofErr w:type="spellStart"/>
      <w:r w:rsidRPr="001E3BFE">
        <w:rPr>
          <w:rtl/>
        </w:rPr>
        <w:t>מיידי</w:t>
      </w:r>
      <w:proofErr w:type="spellEnd"/>
      <w:r w:rsidRPr="001E3BFE">
        <w:rPr>
          <w:rtl/>
        </w:rPr>
        <w:t xml:space="preserve">, הוא מכר את ביתו כדי לממן אותו ואת הטיפול הממושך. שירות המבחן התרשם מהנאשם וסבר שיש להימנע מעונש מאסר בפועל כדי לא לפגוע בהליך השיקומי החיובי שעובר. </w:t>
      </w:r>
    </w:p>
    <w:p w:rsidR="001E3BFE" w:rsidRPr="001E3BFE" w:rsidRDefault="001E3BFE" w:rsidP="001E3BFE">
      <w:pPr>
        <w:pStyle w:val="a0"/>
        <w:numPr>
          <w:ilvl w:val="0"/>
          <w:numId w:val="0"/>
        </w:numPr>
        <w:tabs>
          <w:tab w:val="left" w:pos="720"/>
        </w:tabs>
        <w:ind w:left="720"/>
        <w:jc w:val="both"/>
        <w:rPr>
          <w:rtl/>
        </w:rPr>
      </w:pPr>
      <w:r w:rsidRPr="001E3BFE">
        <w:rPr>
          <w:rtl/>
        </w:rPr>
        <w:t xml:space="preserve">ככל שבית המשפט יקבע רף תחתון למתחם העונש שמתחיל בעונש מאסר בפועל, יש לחרוג מהמתחם משיקולי שיקום. </w:t>
      </w:r>
    </w:p>
    <w:p w:rsidR="001E3BFE" w:rsidRPr="001E3BFE" w:rsidRDefault="001E3BFE" w:rsidP="001E3BFE">
      <w:pPr>
        <w:pStyle w:val="a0"/>
        <w:jc w:val="both"/>
        <w:rPr>
          <w:rtl/>
        </w:rPr>
      </w:pPr>
      <w:r w:rsidRPr="001E3BFE">
        <w:rPr>
          <w:rtl/>
        </w:rPr>
        <w:t xml:space="preserve">הנאשם בדבריו לעונש טען שהוא מתבייש במעשיו, מביע חרטה ולוקח אחריות מלאה. מתנצל בפני המתלוננת ובני משפחתה על פגיעתו המינית בה ועל הפגיעה באמון שנתנו בו כך שבמקום לשמור עליה הוא ניצל אותה לצרכיו. </w:t>
      </w:r>
    </w:p>
    <w:p w:rsidR="001E3BFE" w:rsidRPr="001E3BFE" w:rsidRDefault="001E3BFE" w:rsidP="001E3BFE">
      <w:pPr>
        <w:pStyle w:val="a0"/>
        <w:jc w:val="both"/>
        <w:rPr>
          <w:rtl/>
        </w:rPr>
      </w:pPr>
      <w:r w:rsidRPr="001E3BFE">
        <w:rPr>
          <w:rtl/>
        </w:rPr>
        <w:t xml:space="preserve">בעניינו של הנאשם הוגשו תסקירי שירות המבחן, הערכת מסוכנות מינית, מסמכים רפואיים ומכתב מטעמו, וכן העידה גב' מורן </w:t>
      </w:r>
      <w:proofErr w:type="spellStart"/>
      <w:r w:rsidRPr="001E3BFE">
        <w:rPr>
          <w:rtl/>
        </w:rPr>
        <w:t>דוידיאן</w:t>
      </w:r>
      <w:proofErr w:type="spellEnd"/>
      <w:r w:rsidRPr="001E3BFE">
        <w:rPr>
          <w:rtl/>
        </w:rPr>
        <w:t xml:space="preserve"> המטפלת בנאשם. כמו כן, הוגש תסקיר נפגעת עבירה, והעידה אימה של נפגעת העבירה. </w:t>
      </w:r>
    </w:p>
    <w:p w:rsidR="001E3BFE" w:rsidRDefault="001E3BFE" w:rsidP="001E3BFE">
      <w:pPr>
        <w:pStyle w:val="ae"/>
        <w:rPr>
          <w:rFonts w:ascii="David" w:hAnsi="David"/>
          <w:rtl/>
        </w:rPr>
      </w:pPr>
    </w:p>
    <w:p w:rsidR="001E3BFE" w:rsidRPr="001E3BFE" w:rsidRDefault="001E3BFE" w:rsidP="001E3BFE">
      <w:pPr>
        <w:pStyle w:val="ae"/>
        <w:rPr>
          <w:rFonts w:ascii="David" w:hAnsi="David"/>
        </w:rPr>
      </w:pPr>
      <w:r w:rsidRPr="001E3BFE">
        <w:rPr>
          <w:rFonts w:ascii="David" w:hAnsi="David"/>
          <w:rtl/>
        </w:rPr>
        <w:t xml:space="preserve">דיון והכרעה </w:t>
      </w:r>
    </w:p>
    <w:p w:rsidR="001E3BFE" w:rsidRPr="001E3BFE" w:rsidRDefault="001E3BFE" w:rsidP="001E3BFE">
      <w:pPr>
        <w:pStyle w:val="ae"/>
        <w:rPr>
          <w:rFonts w:ascii="David" w:hAnsi="David"/>
          <w:rtl/>
        </w:rPr>
      </w:pPr>
      <w:r w:rsidRPr="001E3BFE">
        <w:rPr>
          <w:rFonts w:ascii="David" w:hAnsi="David"/>
          <w:rtl/>
        </w:rPr>
        <w:t>קביעת מתחם העונש ההולם</w:t>
      </w:r>
    </w:p>
    <w:p w:rsidR="001E3BFE" w:rsidRPr="001E3BFE" w:rsidRDefault="001E3BFE" w:rsidP="001E3BFE">
      <w:pPr>
        <w:pStyle w:val="a0"/>
        <w:jc w:val="both"/>
        <w:rPr>
          <w:rtl/>
        </w:rPr>
      </w:pPr>
      <w:r w:rsidRPr="001E3BFE">
        <w:rPr>
          <w:rtl/>
        </w:rPr>
        <w:t xml:space="preserve">כתב האישום מתאר שתי עבירות אשר מתקיים ביניהן קשר ענייני הדוק כלפי אותה נפגעת תוך קרבה בזמן ובמקום. בהיעדר מחלוקת בין הצדדים אשר טענו שניהם למתחם עונש אחד לשתי העבירות, יש לקבוע </w:t>
      </w:r>
      <w:r w:rsidRPr="001E3BFE">
        <w:rPr>
          <w:b/>
          <w:bCs/>
          <w:rtl/>
        </w:rPr>
        <w:t>מתחם עונש הולם אחד</w:t>
      </w:r>
      <w:r w:rsidRPr="001E3BFE">
        <w:rPr>
          <w:rtl/>
        </w:rPr>
        <w:t xml:space="preserve">. </w:t>
      </w:r>
    </w:p>
    <w:p w:rsidR="001E3BFE" w:rsidRPr="001E3BFE" w:rsidRDefault="001E3BFE" w:rsidP="001E3BFE">
      <w:pPr>
        <w:pStyle w:val="a0"/>
        <w:numPr>
          <w:ilvl w:val="0"/>
          <w:numId w:val="0"/>
        </w:numPr>
        <w:tabs>
          <w:tab w:val="left" w:pos="720"/>
        </w:tabs>
        <w:ind w:left="720"/>
        <w:jc w:val="both"/>
      </w:pPr>
      <w:r w:rsidRPr="001E3BFE">
        <w:rPr>
          <w:rtl/>
        </w:rPr>
        <w:lastRenderedPageBreak/>
        <w:t xml:space="preserve">מעשיו הפוגעניים של הנאשם כלפי הקטינה פגעו בשורה של ערכים מוגנים ובראשם, כבודה, נפשה וגופה, זכותה לאוטונומיה על גופה, לביטחונה האישי והאמון הטבוע בתא במשפחתי. חומרה יתרה מאפיינת עבירות מין המבוצעות בקטינה על ידי בן משפחה, בסביבה שבה היא אמורה לחוש בטוחה ומוגנת, תוך שהוא מנצל לרעה את הקרבה הפיזית והנפשית ואת האמון השורר במסגרת התא המשפחתי בין הפוגע לבין נפגעת העבירה, כמו גם את כוחו העדיף ואת מעמדו של הפוגע כלפי הנפגעת. גילם הצעיר ותמימותם של ילדות וילדים הופכים אותם לפגיעים במיוחד, בפרט כאשר הפגיעה מתרחשת על ידי קרוב משפחה המנצל זאת, בתוך ביתם מבצרם. על העונש לשקף את סלידת החברה ממעשים אלה, ולהעמיד במרכזו את הפגיעה בנפגעת העבירה, שעלולה ללוות אותם למשך כל חייהם, ולא בנקל תימחה עם חלוף הזמן. במקרים שבהם העבירה מתבצעת בתוך התא המשפחתי, הפגיעה אינה מצטמצמת אך לנפגעת העבירה הישירה, אלא יש לה השלכות הרסניות על המרקם המשפחתי כולו. משכך, נדרשת ענישה מחמירה בעבירות מסוג זה אשר תבטא את ההוקעה החברתית והפסול המוסרי שבמעשים </w:t>
      </w:r>
      <w:r w:rsidRPr="001E3BFE">
        <w:rPr>
          <w:color w:val="auto"/>
          <w:rtl/>
        </w:rPr>
        <w:t>(כב' השופט י' אלרון בע"פ</w:t>
      </w:r>
      <w:r w:rsidRPr="001E3BFE">
        <w:rPr>
          <w:rtl/>
        </w:rPr>
        <w:t xml:space="preserve"> 1831/21 </w:t>
      </w:r>
      <w:r w:rsidRPr="001E3BFE">
        <w:rPr>
          <w:b/>
          <w:bCs/>
          <w:rtl/>
        </w:rPr>
        <w:t>מדינת ישראל נ' פלוני</w:t>
      </w:r>
      <w:r w:rsidRPr="001E3BFE">
        <w:rPr>
          <w:rtl/>
        </w:rPr>
        <w:t xml:space="preserve">, פיסקה 15 (30.1.2022); וראו גם דברי כב' השופט (כתוארו אז) ע' </w:t>
      </w:r>
      <w:proofErr w:type="spellStart"/>
      <w:r w:rsidRPr="001E3BFE">
        <w:rPr>
          <w:rtl/>
        </w:rPr>
        <w:t>פוגלמן</w:t>
      </w:r>
      <w:proofErr w:type="spellEnd"/>
      <w:r w:rsidRPr="001E3BFE">
        <w:rPr>
          <w:rtl/>
        </w:rPr>
        <w:t xml:space="preserve"> בע"פ 5006/21 </w:t>
      </w:r>
      <w:r w:rsidRPr="001E3BFE">
        <w:rPr>
          <w:b/>
          <w:bCs/>
          <w:rtl/>
        </w:rPr>
        <w:t>מדינת ישראל נ' פלוני</w:t>
      </w:r>
      <w:r w:rsidRPr="001E3BFE">
        <w:rPr>
          <w:rtl/>
        </w:rPr>
        <w:t xml:space="preserve"> (6.1.2022) וכן ע"פ 9036/18 </w:t>
      </w:r>
      <w:r w:rsidRPr="001E3BFE">
        <w:rPr>
          <w:b/>
          <w:bCs/>
          <w:rtl/>
        </w:rPr>
        <w:t>פלוני נ' מדינת ישראל</w:t>
      </w:r>
      <w:r w:rsidRPr="001E3BFE">
        <w:rPr>
          <w:rtl/>
        </w:rPr>
        <w:t xml:space="preserve"> (27.1.2020); ע"פ 5347/15 </w:t>
      </w:r>
      <w:r w:rsidRPr="001E3BFE">
        <w:rPr>
          <w:b/>
          <w:bCs/>
          <w:rtl/>
        </w:rPr>
        <w:t>פלוני נ' מדינת ישראל</w:t>
      </w:r>
      <w:r w:rsidRPr="001E3BFE">
        <w:rPr>
          <w:rtl/>
        </w:rPr>
        <w:t xml:space="preserve"> (20.4.2016)). </w:t>
      </w:r>
    </w:p>
    <w:p w:rsidR="001E3BFE" w:rsidRPr="001E3BFE" w:rsidRDefault="001E3BFE" w:rsidP="001E3BFE">
      <w:pPr>
        <w:pStyle w:val="a0"/>
        <w:numPr>
          <w:ilvl w:val="0"/>
          <w:numId w:val="0"/>
        </w:numPr>
        <w:tabs>
          <w:tab w:val="left" w:pos="720"/>
        </w:tabs>
        <w:ind w:left="720"/>
        <w:jc w:val="both"/>
      </w:pPr>
      <w:r w:rsidRPr="001E3BFE">
        <w:rPr>
          <w:rtl/>
        </w:rPr>
        <w:t>בית המשפט העליון עמד פעמים רבות על הצורך בענישה מחמירה בעבירות מין במשפחה שהן מהבזויות שבספר החוקים. על הענישה לשקף את הפסול המוסרי שטמון בהן ואת ההוקעה והסלידה החברתית ממעשים אלה, ולהעניק ביטוי הולם לפגיעה החמורה בקטינות: "עבירות מין בכלל, ואלה שמתבצעות בחוג המשפחה בפרט, פוגעות לא רק בגוף אלא גם בנפש – ברסקן את האמון הבסיסי במקום שאמור להיות יותר מכל מוגן ובטוח... נקודת המוצא לדיון היא אפוא שמדובר בעבירות שהן מהחמורות שבחמורות"</w:t>
      </w:r>
      <w:r w:rsidRPr="001E3BFE">
        <w:rPr>
          <w:b/>
          <w:bCs/>
          <w:rtl/>
        </w:rPr>
        <w:t xml:space="preserve"> </w:t>
      </w:r>
      <w:r w:rsidRPr="001E3BFE">
        <w:rPr>
          <w:rtl/>
        </w:rPr>
        <w:t xml:space="preserve">(דברי כב' השופטת ד' ברק-ארז בע"פ 3615/18 </w:t>
      </w:r>
      <w:r w:rsidRPr="001E3BFE">
        <w:rPr>
          <w:b/>
          <w:bCs/>
          <w:rtl/>
        </w:rPr>
        <w:t>פלוני נ' מדינת ישראל</w:t>
      </w:r>
      <w:r w:rsidRPr="001E3BFE">
        <w:rPr>
          <w:rtl/>
        </w:rPr>
        <w:t xml:space="preserve">, פיסקה 71 (26.3.2020); וכן ראו ע"פ 5167/22 </w:t>
      </w:r>
      <w:r w:rsidRPr="001E3BFE">
        <w:rPr>
          <w:b/>
          <w:bCs/>
          <w:rtl/>
        </w:rPr>
        <w:t>פלוני נ' מדינת ישראל</w:t>
      </w:r>
      <w:r w:rsidRPr="001E3BFE">
        <w:rPr>
          <w:rtl/>
        </w:rPr>
        <w:t xml:space="preserve">, פסקה 31 (26.1.2023); ע"פ 1859/22 </w:t>
      </w:r>
      <w:r w:rsidRPr="001E3BFE">
        <w:rPr>
          <w:b/>
          <w:bCs/>
          <w:rtl/>
        </w:rPr>
        <w:t xml:space="preserve">פלוני נ' מדינת </w:t>
      </w:r>
      <w:r w:rsidRPr="001E3BFE">
        <w:rPr>
          <w:rtl/>
        </w:rPr>
        <w:t xml:space="preserve">ישראל, פסקה 18 (8.6.2022); ע"פ 4099/22 </w:t>
      </w:r>
      <w:r w:rsidRPr="001E3BFE">
        <w:rPr>
          <w:b/>
          <w:bCs/>
          <w:rtl/>
        </w:rPr>
        <w:t>פלוני נ' מדינת ישראל</w:t>
      </w:r>
      <w:r w:rsidRPr="001E3BFE">
        <w:rPr>
          <w:rtl/>
        </w:rPr>
        <w:t xml:space="preserve">, פסקה 6 (6.12.2022); ע"פ 8477/17 </w:t>
      </w:r>
      <w:r w:rsidRPr="001E3BFE">
        <w:rPr>
          <w:b/>
          <w:bCs/>
          <w:rtl/>
        </w:rPr>
        <w:t>פלוני נ' מדינת ישראל</w:t>
      </w:r>
      <w:r w:rsidRPr="001E3BFE">
        <w:rPr>
          <w:rtl/>
        </w:rPr>
        <w:t xml:space="preserve">, פסקה 10 (14.3.2019); ע"פ 8805/15 </w:t>
      </w:r>
      <w:r w:rsidRPr="001E3BFE">
        <w:rPr>
          <w:b/>
          <w:bCs/>
          <w:rtl/>
        </w:rPr>
        <w:t>פלוני נ' מדינת ישראל</w:t>
      </w:r>
      <w:r w:rsidRPr="001E3BFE">
        <w:rPr>
          <w:rtl/>
        </w:rPr>
        <w:t xml:space="preserve">, פסקה 26 (2.4.2017); ע"פ 8802/12 </w:t>
      </w:r>
      <w:r w:rsidRPr="001E3BFE">
        <w:rPr>
          <w:b/>
          <w:bCs/>
          <w:rtl/>
        </w:rPr>
        <w:t>פלוני נ' מדינת ישראל</w:t>
      </w:r>
      <w:r w:rsidRPr="001E3BFE">
        <w:rPr>
          <w:rtl/>
        </w:rPr>
        <w:t xml:space="preserve">, פסקה 12 (5.3.2013)). </w:t>
      </w:r>
    </w:p>
    <w:p w:rsidR="001E3BFE" w:rsidRPr="001E3BFE" w:rsidRDefault="001E3BFE" w:rsidP="001E3BFE">
      <w:pPr>
        <w:pStyle w:val="a0"/>
        <w:numPr>
          <w:ilvl w:val="0"/>
          <w:numId w:val="0"/>
        </w:numPr>
        <w:tabs>
          <w:tab w:val="left" w:pos="720"/>
        </w:tabs>
        <w:ind w:left="720"/>
        <w:jc w:val="both"/>
        <w:rPr>
          <w:b/>
          <w:bCs/>
          <w:rtl/>
        </w:rPr>
      </w:pPr>
      <w:r w:rsidRPr="001E3BFE">
        <w:rPr>
          <w:rtl/>
        </w:rPr>
        <w:t xml:space="preserve">למען הסר ספק יצוין, הנאשם הוא בגדר "בן משפחה", בהתאם לפסיקת בית המשפט העליון שפירשה את סעיף 351(ה)(1) באופן שהמונח "סב" חל גם על מי שהיה נשוי לסבתא (ראו ע"פ 3583/20 </w:t>
      </w:r>
      <w:r w:rsidRPr="001E3BFE">
        <w:rPr>
          <w:b/>
          <w:bCs/>
          <w:rtl/>
        </w:rPr>
        <w:t>פלוני נ' מדינת ישראל</w:t>
      </w:r>
      <w:r w:rsidRPr="001E3BFE">
        <w:rPr>
          <w:rtl/>
        </w:rPr>
        <w:t xml:space="preserve"> (9.11.2020), כב' השופט שטיין, פיסקה 30; כב' השופט </w:t>
      </w:r>
      <w:proofErr w:type="spellStart"/>
      <w:r w:rsidRPr="001E3BFE">
        <w:rPr>
          <w:rtl/>
        </w:rPr>
        <w:t>פוגלמן</w:t>
      </w:r>
      <w:proofErr w:type="spellEnd"/>
      <w:r w:rsidRPr="001E3BFE">
        <w:rPr>
          <w:rtl/>
        </w:rPr>
        <w:t xml:space="preserve">, פיסקה 3); ע"פ 1523/05 </w:t>
      </w:r>
      <w:r w:rsidRPr="001E3BFE">
        <w:rPr>
          <w:b/>
          <w:bCs/>
          <w:rtl/>
        </w:rPr>
        <w:t>פלוני נ' מדינת ישראל</w:t>
      </w:r>
      <w:r w:rsidRPr="001E3BFE">
        <w:rPr>
          <w:rtl/>
        </w:rPr>
        <w:t xml:space="preserve"> (2.3.2006)). </w:t>
      </w:r>
    </w:p>
    <w:p w:rsidR="001E3BFE" w:rsidRPr="001E3BFE" w:rsidRDefault="001E3BFE" w:rsidP="001E3BFE">
      <w:pPr>
        <w:pStyle w:val="a0"/>
        <w:jc w:val="both"/>
        <w:rPr>
          <w:rtl/>
        </w:rPr>
      </w:pPr>
      <w:r w:rsidRPr="001E3BFE">
        <w:rPr>
          <w:rtl/>
        </w:rPr>
        <w:lastRenderedPageBreak/>
        <w:t xml:space="preserve">בחינת </w:t>
      </w:r>
      <w:r w:rsidRPr="001E3BFE">
        <w:rPr>
          <w:b/>
          <w:bCs/>
          <w:rtl/>
        </w:rPr>
        <w:t xml:space="preserve">מידת הפגיעה בערך המוגן </w:t>
      </w:r>
      <w:r w:rsidRPr="001E3BFE">
        <w:rPr>
          <w:rtl/>
        </w:rPr>
        <w:t xml:space="preserve">מובילה למסקנה כי הפגיעה היא ברף בינוני-גבוה, וזאת בשים לב לגילה הצעיר של נפגעת העבירה, </w:t>
      </w:r>
      <w:proofErr w:type="spellStart"/>
      <w:r w:rsidRPr="001E3BFE">
        <w:rPr>
          <w:rtl/>
        </w:rPr>
        <w:t>לחזרתיות</w:t>
      </w:r>
      <w:proofErr w:type="spellEnd"/>
      <w:r w:rsidRPr="001E3BFE">
        <w:rPr>
          <w:rtl/>
        </w:rPr>
        <w:t xml:space="preserve"> שבהתנהגותו וניצול הנאשם את גילה הצעיר ואת תמימותה של הקטינה וכן פערי הכוחות האינהרנטיים ביניהם בהיותו סב חורג שטיפל בקטינה מאז היותה תינוקת. </w:t>
      </w:r>
    </w:p>
    <w:p w:rsidR="001E3BFE" w:rsidRPr="001E3BFE" w:rsidRDefault="001E3BFE" w:rsidP="001E3BFE">
      <w:pPr>
        <w:pStyle w:val="a0"/>
        <w:jc w:val="both"/>
        <w:rPr>
          <w:rtl/>
        </w:rPr>
      </w:pPr>
      <w:r w:rsidRPr="001E3BFE">
        <w:rPr>
          <w:rtl/>
        </w:rPr>
        <w:t xml:space="preserve">חומרת העבירה נלמדת גם מהעונש המרבי הקבוע לצידה העומד על 15 שנות מאסר, וכן מהעונש המזערי הקבוע בסעיף 355 לחוק המורה שהעונש בעבירות מין מסוג זה לא יפחת מרבע העונש המרבי, אלא אם כן קיימים טעמים מיוחדים שיירשמו, להקל בעונשו. במקרה זה עונש המינימום עומד על 3 שנים ו-9 חודשי מאסר (45 חודשים). בקביעת עונש המינימום, גילה המחוקק את דעתו, כי יש לראות את חומרת העבירה כמצדיקה הטלת עונש מזערי, אלא בהתקיימם של טעמים מיוחדים להקל בעונש (כב' השופט נ' </w:t>
      </w:r>
      <w:proofErr w:type="spellStart"/>
      <w:r w:rsidRPr="001E3BFE">
        <w:rPr>
          <w:rtl/>
        </w:rPr>
        <w:t>סולברג</w:t>
      </w:r>
      <w:proofErr w:type="spellEnd"/>
      <w:r w:rsidRPr="001E3BFE">
        <w:rPr>
          <w:rtl/>
        </w:rPr>
        <w:t xml:space="preserve"> בע"פ 8500/22 </w:t>
      </w:r>
      <w:r w:rsidRPr="001E3BFE">
        <w:rPr>
          <w:b/>
          <w:bCs/>
          <w:rtl/>
        </w:rPr>
        <w:t>אביטבול נ' מדינת ישראל</w:t>
      </w:r>
      <w:r w:rsidRPr="001E3BFE">
        <w:rPr>
          <w:rtl/>
        </w:rPr>
        <w:t xml:space="preserve"> (10.7.2023); וראו גם דברי כב' השופט א' שטיין בע"פ 3565/22 </w:t>
      </w:r>
      <w:r w:rsidRPr="001E3BFE">
        <w:rPr>
          <w:b/>
          <w:bCs/>
          <w:rtl/>
        </w:rPr>
        <w:t>פלוני נ' מדינת ישראל</w:t>
      </w:r>
      <w:r w:rsidRPr="001E3BFE">
        <w:rPr>
          <w:rtl/>
        </w:rPr>
        <w:t>, פיסקה 25 (9.8.2023)).</w:t>
      </w:r>
    </w:p>
    <w:p w:rsidR="001E3BFE" w:rsidRPr="001E3BFE" w:rsidRDefault="001E3BFE" w:rsidP="001E3BFE">
      <w:pPr>
        <w:pStyle w:val="a0"/>
        <w:numPr>
          <w:ilvl w:val="0"/>
          <w:numId w:val="0"/>
        </w:numPr>
        <w:tabs>
          <w:tab w:val="left" w:pos="720"/>
        </w:tabs>
        <w:ind w:left="720"/>
        <w:jc w:val="both"/>
      </w:pPr>
      <w:r w:rsidRPr="001E3BFE">
        <w:rPr>
          <w:rtl/>
        </w:rPr>
        <w:t xml:space="preserve">לעונש המזערי שקבע המחוקק ראוי גם שתהיה השפעה על מתחם העונש ההולם, כך שככלל הרף התחתון של מתחם העונש ההולם לא יהיה נמוך מהעונש המזערי שקבע המחוקק, אלא אם קיימים טעמים מיוחדים שיצדיקו קביעת רף תחתון נמוך יותר. זאת אף במקרים שבהם קיימת הצדקה לחרוג ממתחם העונש ההולם משיקולי שיקום (ע"פ 1288/17 </w:t>
      </w:r>
      <w:r w:rsidRPr="001E3BFE">
        <w:rPr>
          <w:b/>
          <w:bCs/>
          <w:rtl/>
        </w:rPr>
        <w:t>מדינת ישראל נ' שנהר</w:t>
      </w:r>
      <w:r w:rsidRPr="001E3BFE">
        <w:rPr>
          <w:rtl/>
        </w:rPr>
        <w:t xml:space="preserve"> (3.10.2017); כב' השופט </w:t>
      </w:r>
      <w:proofErr w:type="spellStart"/>
      <w:r w:rsidRPr="001E3BFE">
        <w:rPr>
          <w:rtl/>
        </w:rPr>
        <w:t>סולברג</w:t>
      </w:r>
      <w:proofErr w:type="spellEnd"/>
      <w:r w:rsidRPr="001E3BFE">
        <w:rPr>
          <w:rtl/>
        </w:rPr>
        <w:t xml:space="preserve"> בע"פ 4876/15 </w:t>
      </w:r>
      <w:r w:rsidRPr="001E3BFE">
        <w:rPr>
          <w:b/>
          <w:bCs/>
          <w:rtl/>
        </w:rPr>
        <w:t>פלוני נ' מדינת ישראל</w:t>
      </w:r>
      <w:r w:rsidRPr="001E3BFE">
        <w:rPr>
          <w:rtl/>
        </w:rPr>
        <w:t xml:space="preserve"> (3.12.2015); כב' השופט אלרון בע"פ 5617/19 </w:t>
      </w:r>
      <w:r w:rsidRPr="001E3BFE">
        <w:rPr>
          <w:b/>
          <w:bCs/>
          <w:rtl/>
        </w:rPr>
        <w:t>מדינת ישראל נ' פלוני</w:t>
      </w:r>
      <w:r w:rsidRPr="001E3BFE">
        <w:rPr>
          <w:rtl/>
        </w:rPr>
        <w:t xml:space="preserve"> (26.8.2021)). זאת הגם שהעונש המזערי מתייחס הן לרכיב המאסר בפועל והן לרכיב המאסר על תנאי, ואילו הרף התחתון של מתחם העונש ההולם מתייחס, ככלל בעבירות מסוג זה, לרכיב המאסר בפועל בלבד. דברים אלה נכונים ביתר שאת במקרה הנוכחי, שבו הורשע הנאשם בשתי עבירות. </w:t>
      </w:r>
    </w:p>
    <w:p w:rsidR="001E3BFE" w:rsidRPr="001E3BFE" w:rsidRDefault="001E3BFE" w:rsidP="001E3BFE">
      <w:pPr>
        <w:pStyle w:val="a0"/>
        <w:jc w:val="both"/>
        <w:rPr>
          <w:rStyle w:val="default"/>
          <w:rFonts w:ascii="David" w:hAnsi="David" w:cs="David"/>
          <w:sz w:val="24"/>
          <w:szCs w:val="24"/>
        </w:rPr>
      </w:pPr>
      <w:r w:rsidRPr="001E3BFE">
        <w:rPr>
          <w:rtl/>
        </w:rPr>
        <w:t xml:space="preserve">במסגרת </w:t>
      </w:r>
      <w:r w:rsidRPr="001E3BFE">
        <w:rPr>
          <w:b/>
          <w:bCs/>
          <w:rtl/>
        </w:rPr>
        <w:t>הנסיבות הקשורות בביצוע העבירה</w:t>
      </w:r>
      <w:r w:rsidRPr="001E3BFE">
        <w:rPr>
          <w:rtl/>
        </w:rPr>
        <w:t xml:space="preserve">, יש לתת את הדעת </w:t>
      </w:r>
      <w:r w:rsidRPr="001E3BFE">
        <w:rPr>
          <w:rStyle w:val="default"/>
          <w:rFonts w:ascii="David" w:hAnsi="David" w:cs="David"/>
          <w:sz w:val="24"/>
          <w:szCs w:val="24"/>
          <w:rtl/>
        </w:rPr>
        <w:t xml:space="preserve">לכך שהנאשם שהיה נשוי לסבתה של הקטינה במשך שנים רבות, הכיר וטיפל בקטינה מאז ינקותה, ניצל את האמון שניתן בו על ידי הקטינה, נכדתו החורגת, ועל ידי בני משפחתה, ובמועדים שונים בהן שהה לבד במחיצת הקטינה, שהייתה רכה בשנים, בת 10 בלבד, ניצל את תמימותה, הורה לה לפשוט את בגדיה ולאחר שעשתה כן, נגע בחזהּ ובאיבר מינה. הנאשם חדל ממעשיו לאחר שהקטינה ביקשה זאת. כן ביקש ממנה שלא לספר על מעשיו לאחרים. הנאשם ביצע את העבירה תוך ניצול הזדמנויות שבהן שהה עם הקטינה לבד, לשם ביצוע זממנו. כך עולה גם מהתרשמות מעריכת המסוכנות שמצאה כי העבירות בוצעו באופן אופורטוניסטי. </w:t>
      </w:r>
    </w:p>
    <w:p w:rsidR="001E3BFE" w:rsidRPr="001E3BFE" w:rsidRDefault="001E3BFE" w:rsidP="001E3BFE">
      <w:pPr>
        <w:pStyle w:val="a0"/>
        <w:jc w:val="both"/>
        <w:rPr>
          <w:rStyle w:val="default"/>
          <w:rFonts w:ascii="David" w:hAnsi="David" w:cs="David"/>
          <w:sz w:val="24"/>
          <w:szCs w:val="24"/>
          <w:rtl/>
        </w:rPr>
      </w:pPr>
      <w:r w:rsidRPr="001E3BFE">
        <w:rPr>
          <w:rStyle w:val="default"/>
          <w:rFonts w:ascii="David" w:hAnsi="David" w:cs="David"/>
          <w:b/>
          <w:bCs/>
          <w:sz w:val="24"/>
          <w:szCs w:val="24"/>
          <w:rtl/>
        </w:rPr>
        <w:t>הנזק שנגרם מביצוע העבירה</w:t>
      </w:r>
      <w:r w:rsidRPr="001E3BFE">
        <w:rPr>
          <w:rStyle w:val="default"/>
          <w:rFonts w:ascii="David" w:hAnsi="David" w:cs="David"/>
          <w:sz w:val="24"/>
          <w:szCs w:val="24"/>
          <w:rtl/>
        </w:rPr>
        <w:t xml:space="preserve"> מפורט בתסקיר נפגעת העבירה וכן מעדות אימה אשר תארה שבתה, נפגעת העבירה, חווה חוסר ביטחון כלפי סביבתה, חשה חשופה ומנסה להגן על עצמה </w:t>
      </w:r>
      <w:r w:rsidRPr="001E3BFE">
        <w:rPr>
          <w:rStyle w:val="default"/>
          <w:rFonts w:ascii="David" w:hAnsi="David" w:cs="David"/>
          <w:sz w:val="24"/>
          <w:szCs w:val="24"/>
          <w:rtl/>
        </w:rPr>
        <w:lastRenderedPageBreak/>
        <w:t xml:space="preserve">בעזרת לבוש גדול מידות. הקטינה מטופלת במשך שנתיים באופן אינטנסיבי והתקדמה בטיפול. כן תארה את הפגיעה שחוותה סבתהּ של הקטינה עקב כך. </w:t>
      </w:r>
    </w:p>
    <w:p w:rsidR="001E3BFE" w:rsidRPr="001E3BFE" w:rsidRDefault="001E3BFE" w:rsidP="001E3BFE">
      <w:pPr>
        <w:pStyle w:val="a0"/>
        <w:numPr>
          <w:ilvl w:val="0"/>
          <w:numId w:val="0"/>
        </w:numPr>
        <w:tabs>
          <w:tab w:val="left" w:pos="720"/>
        </w:tabs>
        <w:ind w:left="720"/>
        <w:jc w:val="both"/>
        <w:rPr>
          <w:rStyle w:val="default"/>
          <w:rFonts w:ascii="David" w:hAnsi="David" w:cs="David"/>
          <w:sz w:val="24"/>
          <w:szCs w:val="24"/>
        </w:rPr>
      </w:pPr>
      <w:r w:rsidRPr="001E3BFE">
        <w:rPr>
          <w:rStyle w:val="default"/>
          <w:rFonts w:ascii="David" w:hAnsi="David" w:cs="David"/>
          <w:sz w:val="24"/>
          <w:szCs w:val="24"/>
          <w:rtl/>
        </w:rPr>
        <w:t xml:space="preserve">בתסקיר נפגעת העבירה פורטו הנזקים שנגרמו לקטינה ולבני משפחתה בעקבות הפגיעה.  מאז הפגיעה הקטינה איבדה את תחושת המוגנות והביטחון גם בביתה, יותר חשדנית והדבר מוסבר על רקע פגיעה על ידי אדם שטיפל בה מאז לידתה. היא חווה קשיי שינה וסיוטים, מתמודדת עם חרדה וחוששת מפני פגיעה חוזרת בה. תוארה פגיעה בתאבון וירידה במשקל. בנוסף חווה תחושת אשם ואחריות על פירוק משפחת סבתה, נוכח גירושיה מהנאשם וצמצום המפגשים המשפחתיים. הוריה של הקטינה תיארו את הנזקים שנגרמו להם בעקבות חשיפת הפגיעה ובכלל זה קשיי שינה, מחשבות חוזרות על הפגיעה ותחושת אשם שלא זיהו את הפגיעה. האב תאר קושי בריכוז והיעדרויות ממקום העבודה בשל הצורך ללוות את בתו לטיפול ולהשתתף בהדרכה הורית. סבתה של הקטינה </w:t>
      </w:r>
      <w:proofErr w:type="spellStart"/>
      <w:r w:rsidRPr="001E3BFE">
        <w:rPr>
          <w:rStyle w:val="default"/>
          <w:rFonts w:ascii="David" w:hAnsi="David" w:cs="David"/>
          <w:sz w:val="24"/>
          <w:szCs w:val="24"/>
          <w:rtl/>
        </w:rPr>
        <w:t>שהיתה</w:t>
      </w:r>
      <w:proofErr w:type="spellEnd"/>
      <w:r w:rsidRPr="001E3BFE">
        <w:rPr>
          <w:rStyle w:val="default"/>
          <w:rFonts w:ascii="David" w:hAnsi="David" w:cs="David"/>
          <w:sz w:val="24"/>
          <w:szCs w:val="24"/>
          <w:rtl/>
        </w:rPr>
        <w:t xml:space="preserve"> נשואה לנאשם במשך 14 שנים, התגרשה מהנאשם והקשר שלה עם הקטינה והוריה נפגע. להתרשמות עורכת התסקיר, הקטינה נותרה עם צלקות בנפשה, היא אינה מבינה לעומק את משמעות הפגיעה וסביר כי עם התבגרותה תאלץ להתמודד עם השלכות הפגיעה על חייה. הורי הקטינה הביעו רצונם לענישה קשה ומשמעותית על הנאשם בשל מעשיו. </w:t>
      </w:r>
    </w:p>
    <w:p w:rsidR="001E3BFE" w:rsidRPr="001E3BFE" w:rsidRDefault="001E3BFE" w:rsidP="001E3BFE">
      <w:pPr>
        <w:pStyle w:val="a0"/>
        <w:numPr>
          <w:ilvl w:val="0"/>
          <w:numId w:val="0"/>
        </w:numPr>
        <w:tabs>
          <w:tab w:val="left" w:pos="720"/>
        </w:tabs>
        <w:ind w:left="720"/>
        <w:jc w:val="both"/>
        <w:rPr>
          <w:rStyle w:val="default"/>
          <w:rFonts w:ascii="David" w:hAnsi="David" w:cs="David"/>
          <w:sz w:val="24"/>
          <w:szCs w:val="24"/>
        </w:rPr>
      </w:pPr>
      <w:r w:rsidRPr="001E3BFE">
        <w:rPr>
          <w:rStyle w:val="default"/>
          <w:rFonts w:ascii="David" w:hAnsi="David" w:cs="David"/>
          <w:b/>
          <w:bCs/>
          <w:sz w:val="24"/>
          <w:szCs w:val="24"/>
          <w:rtl/>
        </w:rPr>
        <w:t xml:space="preserve">הסיבות </w:t>
      </w:r>
      <w:r w:rsidRPr="001E3BFE">
        <w:rPr>
          <w:rStyle w:val="default"/>
          <w:rFonts w:ascii="David" w:hAnsi="David" w:cs="David"/>
          <w:sz w:val="24"/>
          <w:szCs w:val="24"/>
          <w:rtl/>
        </w:rPr>
        <w:t xml:space="preserve">שהביאו את הנאשם לבצע את העבירה על פי שירות המבחן והערכת המסוכנות קשורות לדימויו הגברי שנפגע עקב אי תפקוד מיני, ותחושות תסכול סביב הקשר עם סבתה של הקטינה. מובן כי מעבר לכך, הסיבות שהביאו את הנאשם לביצוע העבירות קשורות ברצונו לספק את מאווייו המיניים תוך ניצול זמינותה, גילה ותמימותה של הקטינה. </w:t>
      </w:r>
    </w:p>
    <w:p w:rsidR="001E3BFE" w:rsidRPr="001E3BFE" w:rsidRDefault="001E3BFE" w:rsidP="001E3BFE">
      <w:pPr>
        <w:pStyle w:val="a0"/>
        <w:jc w:val="both"/>
        <w:rPr>
          <w:rtl/>
        </w:rPr>
      </w:pPr>
      <w:r w:rsidRPr="001E3BFE">
        <w:rPr>
          <w:rtl/>
        </w:rPr>
        <w:t xml:space="preserve">בחינת </w:t>
      </w:r>
      <w:r w:rsidRPr="001E3BFE">
        <w:rPr>
          <w:b/>
          <w:bCs/>
          <w:rtl/>
        </w:rPr>
        <w:t>מדיניות הענישה הנוהגת</w:t>
      </w:r>
      <w:r w:rsidRPr="001E3BFE">
        <w:rPr>
          <w:rtl/>
        </w:rPr>
        <w:t xml:space="preserve"> מעלה כי במקרים דומים הוטלו על נאשמים עונשי מאסר בפועל במנעד רחב כמפורט להלן:</w:t>
      </w:r>
    </w:p>
    <w:p w:rsidR="001E3BFE" w:rsidRPr="001E3BFE" w:rsidRDefault="001E3BFE" w:rsidP="001E3BFE">
      <w:pPr>
        <w:pStyle w:val="a"/>
        <w:numPr>
          <w:ilvl w:val="1"/>
          <w:numId w:val="19"/>
        </w:numPr>
        <w:tabs>
          <w:tab w:val="num" w:pos="1286"/>
        </w:tabs>
        <w:ind w:left="1286" w:right="0" w:hanging="540"/>
        <w:jc w:val="both"/>
        <w:rPr>
          <w:rStyle w:val="default"/>
          <w:rFonts w:ascii="David" w:hAnsi="David" w:cs="David"/>
          <w:sz w:val="24"/>
          <w:szCs w:val="24"/>
          <w:rtl/>
        </w:rPr>
      </w:pPr>
      <w:r w:rsidRPr="001E3BFE">
        <w:rPr>
          <w:rStyle w:val="default"/>
          <w:rFonts w:ascii="David" w:hAnsi="David" w:cs="David"/>
          <w:sz w:val="24"/>
          <w:szCs w:val="24"/>
          <w:rtl/>
        </w:rPr>
        <w:t xml:space="preserve">בע"פ 5813/22 </w:t>
      </w:r>
      <w:proofErr w:type="spellStart"/>
      <w:r w:rsidRPr="001E3BFE">
        <w:rPr>
          <w:rStyle w:val="default"/>
          <w:rFonts w:ascii="David" w:hAnsi="David" w:cs="David"/>
          <w:b/>
          <w:bCs/>
          <w:sz w:val="24"/>
          <w:szCs w:val="24"/>
          <w:rtl/>
        </w:rPr>
        <w:t>ון</w:t>
      </w:r>
      <w:proofErr w:type="spellEnd"/>
      <w:r w:rsidRPr="001E3BFE">
        <w:rPr>
          <w:rStyle w:val="default"/>
          <w:rFonts w:ascii="David" w:hAnsi="David" w:cs="David"/>
          <w:b/>
          <w:bCs/>
          <w:sz w:val="24"/>
          <w:szCs w:val="24"/>
          <w:rtl/>
        </w:rPr>
        <w:t xml:space="preserve"> </w:t>
      </w:r>
      <w:proofErr w:type="spellStart"/>
      <w:r w:rsidRPr="001E3BFE">
        <w:rPr>
          <w:rStyle w:val="default"/>
          <w:rFonts w:ascii="David" w:hAnsi="David" w:cs="David"/>
          <w:b/>
          <w:bCs/>
          <w:sz w:val="24"/>
          <w:szCs w:val="24"/>
          <w:rtl/>
        </w:rPr>
        <w:t>סטרטן</w:t>
      </w:r>
      <w:proofErr w:type="spellEnd"/>
      <w:r w:rsidRPr="001E3BFE">
        <w:rPr>
          <w:rStyle w:val="default"/>
          <w:rFonts w:ascii="David" w:hAnsi="David" w:cs="David"/>
          <w:b/>
          <w:bCs/>
          <w:sz w:val="24"/>
          <w:szCs w:val="24"/>
          <w:rtl/>
        </w:rPr>
        <w:t xml:space="preserve"> נ' מדינת ישראל</w:t>
      </w:r>
      <w:r w:rsidRPr="001E3BFE">
        <w:rPr>
          <w:rStyle w:val="default"/>
          <w:rFonts w:ascii="David" w:hAnsi="David" w:cs="David"/>
          <w:sz w:val="24"/>
          <w:szCs w:val="24"/>
          <w:rtl/>
        </w:rPr>
        <w:t xml:space="preserve"> (22.2.23), דחה בית המשפט העליון ערעור נאשם אשר הורשע על פי הודאתו בעבירות של מעשה מגונה בקטינה בת משפחה כלפי שלוש נכדותיו. בית המשפט קבע מתחמי עונש נפרדים ביחס לפגיעות כלפי כל נכדה. בשני </w:t>
      </w:r>
      <w:proofErr w:type="spellStart"/>
      <w:r w:rsidRPr="001E3BFE">
        <w:rPr>
          <w:rStyle w:val="default"/>
          <w:rFonts w:ascii="David" w:hAnsi="David" w:cs="David"/>
          <w:sz w:val="24"/>
          <w:szCs w:val="24"/>
          <w:rtl/>
        </w:rPr>
        <w:t>אישומים</w:t>
      </w:r>
      <w:proofErr w:type="spellEnd"/>
      <w:r w:rsidRPr="001E3BFE">
        <w:rPr>
          <w:rStyle w:val="default"/>
          <w:rFonts w:ascii="David" w:hAnsi="David" w:cs="David"/>
          <w:sz w:val="24"/>
          <w:szCs w:val="24"/>
          <w:rtl/>
        </w:rPr>
        <w:t xml:space="preserve"> הנוגעים לנכדה הראשונה, נישק הנאשם את נכדתו על פיה, הכניס את ידו מתחת לתחתוניה ונגע בישבנה ובאיבר מינה למספר שניות. בהזדמנות אחרת, כשהייתה כבת עשר, קרא הנאשם לנכדתו לשבת עליו, הכניס את ידו מתחת לתחתוניה ונגע בישבנה למשך מספר שניות. כלפי נכדה אחרת, חיבק אותה ונישק אותה על פיה. כלפי הנכדה השלישית הנאשם נגע בישבנה מעל לבגדיה חמש פעמים. בית המשפט קבע מתחם עונש ביחס לעבירות שביצע הנאשם בנכדה הראשונה, </w:t>
      </w:r>
      <w:r w:rsidRPr="001E3BFE">
        <w:rPr>
          <w:rStyle w:val="default"/>
          <w:rFonts w:ascii="David" w:hAnsi="David" w:cs="David"/>
          <w:b/>
          <w:bCs/>
          <w:sz w:val="24"/>
          <w:szCs w:val="24"/>
          <w:rtl/>
        </w:rPr>
        <w:t>הנע בין 30 ל-60 חודשי מאסר בפועל</w:t>
      </w:r>
      <w:r w:rsidRPr="001E3BFE">
        <w:rPr>
          <w:rStyle w:val="default"/>
          <w:rFonts w:ascii="David" w:hAnsi="David" w:cs="David"/>
          <w:sz w:val="24"/>
          <w:szCs w:val="24"/>
          <w:rtl/>
        </w:rPr>
        <w:t xml:space="preserve">. ביחס לפגיעות בנכדות האחרות, קבע מתחמים שבין 6 ו-12 חודשים, ובין 15 ל-30 חודשים. הנאשם אדם מבוגר, ללא עבר פלילי ששולב בטיפול, נדון לעונש </w:t>
      </w:r>
      <w:r w:rsidRPr="001E3BFE">
        <w:rPr>
          <w:rStyle w:val="default"/>
          <w:rFonts w:ascii="David" w:hAnsi="David" w:cs="David"/>
          <w:sz w:val="24"/>
          <w:szCs w:val="24"/>
          <w:rtl/>
        </w:rPr>
        <w:lastRenderedPageBreak/>
        <w:t xml:space="preserve">של </w:t>
      </w:r>
      <w:r w:rsidRPr="001E3BFE">
        <w:rPr>
          <w:rStyle w:val="default"/>
          <w:rFonts w:ascii="David" w:hAnsi="David" w:cs="David"/>
          <w:b/>
          <w:bCs/>
          <w:sz w:val="24"/>
          <w:szCs w:val="24"/>
          <w:rtl/>
        </w:rPr>
        <w:t>58 חודשי מאסר בפועל</w:t>
      </w:r>
      <w:r w:rsidRPr="001E3BFE">
        <w:rPr>
          <w:rStyle w:val="default"/>
          <w:rFonts w:ascii="David" w:hAnsi="David" w:cs="David"/>
          <w:sz w:val="24"/>
          <w:szCs w:val="24"/>
          <w:rtl/>
        </w:rPr>
        <w:t xml:space="preserve"> (ראו גם תפ"ח (מחוזי מר') 62119-10-20 </w:t>
      </w:r>
      <w:r w:rsidRPr="001E3BFE">
        <w:rPr>
          <w:rStyle w:val="default"/>
          <w:rFonts w:ascii="David" w:hAnsi="David" w:cs="David"/>
          <w:b/>
          <w:bCs/>
          <w:sz w:val="24"/>
          <w:szCs w:val="24"/>
          <w:rtl/>
        </w:rPr>
        <w:t>מדינת ישראל נ' פלוני</w:t>
      </w:r>
      <w:r w:rsidRPr="001E3BFE">
        <w:rPr>
          <w:rStyle w:val="default"/>
          <w:rFonts w:ascii="David" w:hAnsi="David" w:cs="David"/>
          <w:sz w:val="24"/>
          <w:szCs w:val="24"/>
          <w:rtl/>
        </w:rPr>
        <w:t xml:space="preserve"> (2.8.2022)). </w:t>
      </w:r>
    </w:p>
    <w:p w:rsidR="001E3BFE" w:rsidRPr="001E3BFE" w:rsidRDefault="001E3BFE" w:rsidP="001E3BFE">
      <w:pPr>
        <w:pStyle w:val="a"/>
        <w:numPr>
          <w:ilvl w:val="0"/>
          <w:numId w:val="0"/>
        </w:numPr>
        <w:tabs>
          <w:tab w:val="left" w:pos="720"/>
        </w:tabs>
        <w:ind w:left="1286" w:right="0"/>
        <w:jc w:val="both"/>
        <w:rPr>
          <w:rStyle w:val="default"/>
          <w:rFonts w:ascii="David" w:hAnsi="David" w:cs="David"/>
          <w:sz w:val="24"/>
          <w:szCs w:val="24"/>
        </w:rPr>
      </w:pPr>
      <w:r w:rsidRPr="001E3BFE">
        <w:rPr>
          <w:rStyle w:val="default"/>
          <w:rFonts w:ascii="David" w:hAnsi="David" w:cs="David"/>
          <w:sz w:val="24"/>
          <w:szCs w:val="24"/>
          <w:rtl/>
        </w:rPr>
        <w:t>אמנם מדובר במקרה חמור יותר מהתיק דנן וזאת בשל הפגיעה בשלוש נפגעות ואולם קביעת מתחם העונש לעבירות כלפי הנכדה הראשונה, רלוונטית למקרה שלפנינו.</w:t>
      </w:r>
    </w:p>
    <w:p w:rsidR="001E3BFE" w:rsidRPr="001E3BFE" w:rsidRDefault="001E3BFE" w:rsidP="001E3BFE">
      <w:pPr>
        <w:pStyle w:val="a"/>
        <w:numPr>
          <w:ilvl w:val="1"/>
          <w:numId w:val="19"/>
        </w:numPr>
        <w:tabs>
          <w:tab w:val="num" w:pos="1286"/>
        </w:tabs>
        <w:ind w:left="1286" w:right="0" w:hanging="540"/>
        <w:jc w:val="both"/>
        <w:rPr>
          <w:rFonts w:ascii="David" w:hAnsi="David"/>
        </w:rPr>
      </w:pPr>
      <w:r w:rsidRPr="001E3BFE">
        <w:rPr>
          <w:rFonts w:ascii="David" w:eastAsia="Calibri" w:hAnsi="David"/>
          <w:rtl/>
        </w:rPr>
        <w:t xml:space="preserve">בע"פ 5421/12 </w:t>
      </w:r>
      <w:r w:rsidRPr="001E3BFE">
        <w:rPr>
          <w:rFonts w:ascii="David" w:eastAsia="Calibri" w:hAnsi="David"/>
          <w:b/>
          <w:bCs/>
          <w:rtl/>
        </w:rPr>
        <w:t>פלוני נ' מדינת ישראל</w:t>
      </w:r>
      <w:r w:rsidRPr="001E3BFE">
        <w:rPr>
          <w:rFonts w:ascii="David" w:eastAsia="Calibri" w:hAnsi="David"/>
          <w:rtl/>
        </w:rPr>
        <w:t xml:space="preserve"> (29.8.13) נדחה ערעורו של נאשם אשר הורשע בהתאם להודאתו במעשים מגונים בקטינה בת משפחה שביצע בנכדתו בגיל 11-9. באחד המקרים ליטף הנאשם ועיסה שוב ושוב את החזה שלה מתחת לגופייה. המערער הכניס את ידו מתחת למכנסיה ולתחתוניה של הקטינה, ליטף ועיסה את איבר מינה. בהמשך, הוציא את ידו, ליקק את אחת מאצבעות ידו ונגע באיבר מינו. בהזדמנות אחרת, ליטף ועיסה את ישבנה של הקטינה. במועד נוסף, עיסה המערער את חזהּ של הקטינה מעל הבגדים, ובהמשך מתחת לבגדיה. הנאשם הכניס את ידו מתחת לתחתוניה וליטף ועיסה את איבר מינה. בהמשך, ליקק את אחת מאצבעותיו </w:t>
      </w:r>
      <w:r w:rsidRPr="001E3BFE">
        <w:rPr>
          <w:rStyle w:val="default"/>
          <w:rFonts w:ascii="David" w:hAnsi="David" w:cs="David"/>
          <w:sz w:val="24"/>
          <w:szCs w:val="24"/>
          <w:rtl/>
        </w:rPr>
        <w:t>ונגע</w:t>
      </w:r>
      <w:r w:rsidRPr="001E3BFE">
        <w:rPr>
          <w:rFonts w:ascii="David" w:eastAsia="Calibri" w:hAnsi="David"/>
          <w:rtl/>
        </w:rPr>
        <w:t xml:space="preserve"> באיבר מינו.</w:t>
      </w:r>
      <w:r w:rsidRPr="001E3BFE">
        <w:rPr>
          <w:rFonts w:ascii="David" w:hAnsi="David"/>
          <w:rtl/>
        </w:rPr>
        <w:t xml:space="preserve"> הנאשם נדון לעונש של</w:t>
      </w:r>
      <w:r w:rsidRPr="001E3BFE">
        <w:rPr>
          <w:rFonts w:ascii="David" w:hAnsi="David"/>
          <w:b/>
          <w:bCs/>
          <w:rtl/>
        </w:rPr>
        <w:t xml:space="preserve"> 4 שנות מאסר בפועל</w:t>
      </w:r>
      <w:r w:rsidRPr="001E3BFE">
        <w:rPr>
          <w:rFonts w:ascii="David" w:hAnsi="David"/>
          <w:rtl/>
        </w:rPr>
        <w:t xml:space="preserve">. </w:t>
      </w:r>
    </w:p>
    <w:p w:rsidR="001E3BFE" w:rsidRPr="001E3BFE" w:rsidRDefault="001E3BFE" w:rsidP="001E3BFE">
      <w:pPr>
        <w:pStyle w:val="a"/>
        <w:numPr>
          <w:ilvl w:val="1"/>
          <w:numId w:val="19"/>
        </w:numPr>
        <w:tabs>
          <w:tab w:val="num" w:pos="1286"/>
        </w:tabs>
        <w:ind w:left="1286" w:right="0" w:hanging="540"/>
        <w:jc w:val="both"/>
        <w:rPr>
          <w:rFonts w:ascii="David" w:hAnsi="David"/>
        </w:rPr>
      </w:pPr>
      <w:r w:rsidRPr="001E3BFE">
        <w:rPr>
          <w:rFonts w:ascii="David" w:hAnsi="David"/>
          <w:rtl/>
        </w:rPr>
        <w:t xml:space="preserve">בע"פ 5347/15 </w:t>
      </w:r>
      <w:r w:rsidRPr="001E3BFE">
        <w:rPr>
          <w:rFonts w:ascii="David" w:hAnsi="David"/>
          <w:b/>
          <w:bCs/>
          <w:rtl/>
        </w:rPr>
        <w:t>פלוני נ' מדינת ישראל</w:t>
      </w:r>
      <w:r w:rsidRPr="001E3BFE">
        <w:rPr>
          <w:rFonts w:ascii="David" w:hAnsi="David"/>
          <w:rtl/>
        </w:rPr>
        <w:t xml:space="preserve"> (20.4.20.16) נדחה ערעורו של נאשם שהורשע, לאחר ניהול הוכחות, בביצוע מעשים מגונים באחייניתו הקטינה ובחמותו. המעשים המגונים באחיינית בוצעו בשתי הזדמנויות, בכך שליטף את גופה ונגע באיבריה המוצנעים לרבות באיבר מינה. הנאשם ללא עבר פלילי. בגין המעשים בקטינה בלבד נקבע </w:t>
      </w:r>
      <w:r w:rsidRPr="001E3BFE">
        <w:rPr>
          <w:rFonts w:ascii="David" w:hAnsi="David"/>
          <w:b/>
          <w:bCs/>
          <w:rtl/>
        </w:rPr>
        <w:t>מתחם הנע בין 2.5 ל-4.5 שנות מאסר בפועל</w:t>
      </w:r>
      <w:r w:rsidRPr="001E3BFE">
        <w:rPr>
          <w:rFonts w:ascii="David" w:hAnsi="David"/>
          <w:rtl/>
        </w:rPr>
        <w:t>, ונגזרו על הנאשם</w:t>
      </w:r>
      <w:r w:rsidRPr="001E3BFE">
        <w:rPr>
          <w:rFonts w:ascii="David" w:hAnsi="David"/>
          <w:b/>
          <w:bCs/>
          <w:rtl/>
        </w:rPr>
        <w:t xml:space="preserve"> 3 שנות מאסר בפועל</w:t>
      </w:r>
      <w:r w:rsidRPr="001E3BFE">
        <w:rPr>
          <w:rFonts w:ascii="David" w:hAnsi="David"/>
          <w:rtl/>
        </w:rPr>
        <w:t>. בסך הכולל, כולל העבירות כלפי החמות, נדון הנאשם לעונש של</w:t>
      </w:r>
      <w:r w:rsidRPr="001E3BFE">
        <w:rPr>
          <w:rFonts w:ascii="David" w:hAnsi="David"/>
          <w:b/>
          <w:bCs/>
          <w:rtl/>
        </w:rPr>
        <w:t xml:space="preserve"> 3.5 שנות מאסר</w:t>
      </w:r>
      <w:r w:rsidRPr="001E3BFE">
        <w:rPr>
          <w:rFonts w:ascii="David" w:hAnsi="David"/>
          <w:rtl/>
        </w:rPr>
        <w:t xml:space="preserve">. </w:t>
      </w:r>
    </w:p>
    <w:p w:rsidR="001E3BFE" w:rsidRPr="001E3BFE" w:rsidRDefault="001E3BFE" w:rsidP="001E3BFE">
      <w:pPr>
        <w:pStyle w:val="a"/>
        <w:numPr>
          <w:ilvl w:val="1"/>
          <w:numId w:val="19"/>
        </w:numPr>
        <w:tabs>
          <w:tab w:val="num" w:pos="1286"/>
        </w:tabs>
        <w:ind w:left="1286" w:right="0" w:hanging="540"/>
        <w:jc w:val="both"/>
        <w:rPr>
          <w:rStyle w:val="default"/>
          <w:rFonts w:ascii="David" w:hAnsi="David" w:cs="David"/>
          <w:sz w:val="24"/>
          <w:szCs w:val="24"/>
        </w:rPr>
      </w:pPr>
      <w:r w:rsidRPr="001E3BFE">
        <w:rPr>
          <w:rStyle w:val="default"/>
          <w:rFonts w:ascii="David" w:hAnsi="David" w:cs="David"/>
          <w:sz w:val="24"/>
          <w:szCs w:val="24"/>
          <w:rtl/>
        </w:rPr>
        <w:t xml:space="preserve">בע"פ 2965/18 </w:t>
      </w:r>
      <w:r w:rsidRPr="001E3BFE">
        <w:rPr>
          <w:rStyle w:val="default"/>
          <w:rFonts w:ascii="David" w:hAnsi="David" w:cs="David"/>
          <w:b/>
          <w:bCs/>
          <w:sz w:val="24"/>
          <w:szCs w:val="24"/>
          <w:rtl/>
        </w:rPr>
        <w:t>פלוני נ' מדינת ישראל</w:t>
      </w:r>
      <w:r w:rsidRPr="001E3BFE">
        <w:rPr>
          <w:rStyle w:val="default"/>
          <w:rFonts w:ascii="David" w:hAnsi="David" w:cs="David"/>
          <w:sz w:val="24"/>
          <w:szCs w:val="24"/>
          <w:rtl/>
        </w:rPr>
        <w:t xml:space="preserve"> (12.6.19), דחה בית המשפט העליון ערעור נאשם אשר הורשע לאחר ניהול הוכחות בשתי עבירות של מעשה מגונה בקטינה בת משפחה, בתה של בת זוגו לשעבר בהיותה בת 8. באחד המקרים ליטף את גופה של הקטינה ונגע באיבר מינה מתחת לתחתוניה. במקרה נוסף, ליטף את גופה, נישק אותה בצווארה ובפיה ונישק את תנוכי אזניה. מדובר במעשים שבוצעו למעלה מ-15 שנה טרם גזר הדין. הנאשם אדם מבוגר שנסיבות חייו מורכבות, בעל עבר פלילי ומאסר מותנה ישן, נדון </w:t>
      </w:r>
      <w:r w:rsidRPr="001E3BFE">
        <w:rPr>
          <w:rStyle w:val="default"/>
          <w:rFonts w:ascii="David" w:hAnsi="David" w:cs="David"/>
          <w:b/>
          <w:bCs/>
          <w:sz w:val="24"/>
          <w:szCs w:val="24"/>
          <w:rtl/>
        </w:rPr>
        <w:t>לעונש של 30 חודשי מאסר בפועל</w:t>
      </w:r>
      <w:r w:rsidRPr="001E3BFE">
        <w:rPr>
          <w:rStyle w:val="default"/>
          <w:rFonts w:ascii="David" w:hAnsi="David" w:cs="David"/>
          <w:sz w:val="24"/>
          <w:szCs w:val="24"/>
          <w:rtl/>
        </w:rPr>
        <w:t xml:space="preserve">. בנוסף הופעל עונש של מאסר מותנה כך שירצה עונש של 40 חודשי מאסר בפועל לצד ענישה נלווית. </w:t>
      </w:r>
    </w:p>
    <w:p w:rsidR="001E3BFE" w:rsidRPr="001E3BFE" w:rsidRDefault="001E3BFE" w:rsidP="001E3BFE">
      <w:pPr>
        <w:pStyle w:val="a"/>
        <w:numPr>
          <w:ilvl w:val="1"/>
          <w:numId w:val="19"/>
        </w:numPr>
        <w:tabs>
          <w:tab w:val="num" w:pos="1286"/>
        </w:tabs>
        <w:ind w:left="1286" w:right="0" w:hanging="540"/>
        <w:jc w:val="both"/>
        <w:rPr>
          <w:rStyle w:val="default"/>
          <w:rFonts w:ascii="David" w:hAnsi="David" w:cs="David"/>
          <w:sz w:val="24"/>
          <w:szCs w:val="24"/>
          <w:rtl/>
        </w:rPr>
      </w:pPr>
      <w:r w:rsidRPr="001E3BFE">
        <w:rPr>
          <w:rStyle w:val="default"/>
          <w:rFonts w:ascii="David" w:hAnsi="David" w:cs="David"/>
          <w:sz w:val="24"/>
          <w:szCs w:val="24"/>
          <w:rtl/>
        </w:rPr>
        <w:t xml:space="preserve">בע"פ 8068/21 </w:t>
      </w:r>
      <w:r w:rsidRPr="001E3BFE">
        <w:rPr>
          <w:rStyle w:val="default"/>
          <w:rFonts w:ascii="David" w:hAnsi="David" w:cs="David"/>
          <w:b/>
          <w:bCs/>
          <w:sz w:val="24"/>
          <w:szCs w:val="24"/>
          <w:rtl/>
        </w:rPr>
        <w:t>פלוני נ' מדינת ישראל</w:t>
      </w:r>
      <w:r w:rsidRPr="001E3BFE">
        <w:rPr>
          <w:rStyle w:val="default"/>
          <w:rFonts w:ascii="David" w:hAnsi="David" w:cs="David"/>
          <w:sz w:val="24"/>
          <w:szCs w:val="24"/>
          <w:rtl/>
        </w:rPr>
        <w:t xml:space="preserve"> (4.4.22), נדחה ערעור נאשם שהורשע בעבירה של מעשה מגונה בקטינה (שאינה בת משפחה) בשתי הזדמנויות. בעת שהקטינה (בת 8) ביקרה עם הוריה בבית הוריו של הנאשם, הזמין אותה לחדרו תוך הבטחה לתת לה </w:t>
      </w:r>
      <w:r w:rsidRPr="001E3BFE">
        <w:rPr>
          <w:rStyle w:val="default"/>
          <w:rFonts w:ascii="David" w:hAnsi="David" w:cs="David"/>
          <w:sz w:val="24"/>
          <w:szCs w:val="24"/>
          <w:rtl/>
        </w:rPr>
        <w:lastRenderedPageBreak/>
        <w:t xml:space="preserve">דבר מה, ביקש ממנה שתראה לו את תחתוניה וכאשר הרימה את שמלתה, הוריד את תחתוניה, החדיר אצבע בין פלחי ישבנה ומישש את איבר מינה. בית המשפט המחוזי קבע </w:t>
      </w:r>
      <w:r w:rsidRPr="001E3BFE">
        <w:rPr>
          <w:rStyle w:val="default"/>
          <w:rFonts w:ascii="David" w:hAnsi="David" w:cs="David"/>
          <w:b/>
          <w:bCs/>
          <w:sz w:val="24"/>
          <w:szCs w:val="24"/>
          <w:rtl/>
        </w:rPr>
        <w:t>מתחם עונש הנע בין שנתיים ל-4 שנות מאסר בפועל.</w:t>
      </w:r>
      <w:r w:rsidRPr="001E3BFE">
        <w:rPr>
          <w:rStyle w:val="default"/>
          <w:rFonts w:ascii="David" w:hAnsi="David" w:cs="David"/>
          <w:sz w:val="24"/>
          <w:szCs w:val="24"/>
          <w:rtl/>
        </w:rPr>
        <w:t xml:space="preserve"> הנאשם צעיר, ללא עבר פלילי, שאת המעשה הראשון ביצע בהיותו קטין, שולב בטיפול ייעודי במשך שנתיים ושירות המבחן המליץ על צו מבחן ועבודות שירות. בית המשפט הטיל על הנאשם עונש של </w:t>
      </w:r>
      <w:r w:rsidRPr="001E3BFE">
        <w:rPr>
          <w:rStyle w:val="default"/>
          <w:rFonts w:ascii="David" w:hAnsi="David" w:cs="David"/>
          <w:b/>
          <w:bCs/>
          <w:sz w:val="24"/>
          <w:szCs w:val="24"/>
          <w:rtl/>
        </w:rPr>
        <w:t>24 חודשי מאסר בפועל</w:t>
      </w:r>
      <w:r w:rsidRPr="001E3BFE">
        <w:rPr>
          <w:rStyle w:val="default"/>
          <w:rFonts w:ascii="David" w:hAnsi="David" w:cs="David"/>
          <w:sz w:val="24"/>
          <w:szCs w:val="24"/>
          <w:rtl/>
        </w:rPr>
        <w:t>.</w:t>
      </w:r>
    </w:p>
    <w:p w:rsidR="001E3BFE" w:rsidRPr="001E3BFE" w:rsidRDefault="001E3BFE" w:rsidP="001E3BFE">
      <w:pPr>
        <w:pStyle w:val="a"/>
        <w:numPr>
          <w:ilvl w:val="0"/>
          <w:numId w:val="0"/>
        </w:numPr>
        <w:tabs>
          <w:tab w:val="left" w:pos="720"/>
        </w:tabs>
        <w:ind w:left="1286" w:right="0"/>
        <w:jc w:val="both"/>
        <w:rPr>
          <w:rStyle w:val="default"/>
          <w:rFonts w:ascii="David" w:hAnsi="David" w:cs="David"/>
          <w:sz w:val="24"/>
          <w:szCs w:val="24"/>
        </w:rPr>
      </w:pPr>
      <w:r w:rsidRPr="001E3BFE">
        <w:rPr>
          <w:rStyle w:val="default"/>
          <w:rFonts w:ascii="David" w:hAnsi="David" w:cs="David"/>
          <w:sz w:val="24"/>
          <w:szCs w:val="24"/>
          <w:rtl/>
        </w:rPr>
        <w:t>מקרה זה פחות חמור מענייננו בכך שמדובר במעשה מגונה בקטינה, ללא הנסיבה המחמירה שהיא בת משפחה, וכי הנאשם היה קטין בעת ביצוע אחת העבירות.</w:t>
      </w:r>
    </w:p>
    <w:p w:rsidR="001E3BFE" w:rsidRPr="001E3BFE" w:rsidRDefault="001E3BFE" w:rsidP="001E3BFE">
      <w:pPr>
        <w:pStyle w:val="a"/>
        <w:numPr>
          <w:ilvl w:val="1"/>
          <w:numId w:val="19"/>
        </w:numPr>
        <w:tabs>
          <w:tab w:val="num" w:pos="1286"/>
        </w:tabs>
        <w:ind w:left="1286" w:right="0" w:hanging="540"/>
        <w:jc w:val="both"/>
        <w:rPr>
          <w:rStyle w:val="default"/>
          <w:rFonts w:ascii="David" w:hAnsi="David" w:cs="David"/>
          <w:sz w:val="24"/>
          <w:szCs w:val="24"/>
        </w:rPr>
      </w:pPr>
      <w:r w:rsidRPr="001E3BFE">
        <w:rPr>
          <w:rStyle w:val="default"/>
          <w:rFonts w:ascii="David" w:hAnsi="David" w:cs="David"/>
          <w:sz w:val="24"/>
          <w:szCs w:val="24"/>
          <w:rtl/>
        </w:rPr>
        <w:t xml:space="preserve">בע"פ 8178/21 </w:t>
      </w:r>
      <w:r w:rsidRPr="001E3BFE">
        <w:rPr>
          <w:rStyle w:val="default"/>
          <w:rFonts w:ascii="David" w:hAnsi="David" w:cs="David"/>
          <w:b/>
          <w:bCs/>
          <w:sz w:val="24"/>
          <w:szCs w:val="24"/>
          <w:rtl/>
        </w:rPr>
        <w:t>פלוני נ' מדינת ישראל</w:t>
      </w:r>
      <w:r w:rsidRPr="001E3BFE">
        <w:rPr>
          <w:rStyle w:val="default"/>
          <w:rFonts w:ascii="David" w:hAnsi="David" w:cs="David"/>
          <w:sz w:val="24"/>
          <w:szCs w:val="24"/>
          <w:rtl/>
        </w:rPr>
        <w:t xml:space="preserve"> (30.1.22), דחה בית המשפט העליון ערעור נאשם אשר הורשע בשתי עבירות של מעשה מגונה בקטינה בת משפחה. הנאשם סבה של המתלוננת בת ה-11, ביצע בה מעשים מגונים בשתי הזדמנויות, הניח את ראשה על בטנו, ליטף את צווארה והכניס ידו מתחת לחולצתה לכיוון חזה ובידו השנייה נגע בבטנה סמוך לאיבר מינה; בהמשך לקח הנאשם את ידה של המתלוננת והניחה על איבר מינו. במקרה נוסף בעת שהקטינה שכבה לנוח, חיכך את גופו בגופה. במסגרת </w:t>
      </w:r>
      <w:r w:rsidRPr="001E3BFE">
        <w:rPr>
          <w:rStyle w:val="default"/>
          <w:rFonts w:ascii="David" w:hAnsi="David" w:cs="David"/>
          <w:sz w:val="24"/>
          <w:szCs w:val="24"/>
          <w:u w:val="single"/>
          <w:rtl/>
        </w:rPr>
        <w:t>הסדר טיעון</w:t>
      </w:r>
      <w:r w:rsidRPr="001E3BFE">
        <w:rPr>
          <w:rStyle w:val="default"/>
          <w:rFonts w:ascii="David" w:hAnsi="David" w:cs="David"/>
          <w:sz w:val="24"/>
          <w:szCs w:val="24"/>
          <w:rtl/>
        </w:rPr>
        <w:t xml:space="preserve"> הוסכם כי המאשימה תעתור לעונש של 16 חודשי מאסר בפועל וההגנה תהא חופשיה בטיעוניה. בית המשפט קבע מ</w:t>
      </w:r>
      <w:r w:rsidRPr="001E3BFE">
        <w:rPr>
          <w:rStyle w:val="default"/>
          <w:rFonts w:ascii="David" w:hAnsi="David" w:cs="David"/>
          <w:b/>
          <w:bCs/>
          <w:sz w:val="24"/>
          <w:szCs w:val="24"/>
          <w:rtl/>
        </w:rPr>
        <w:t>תחם עונש הנע בין 14 ל-30 חודשי מאסר בפועל</w:t>
      </w:r>
      <w:r w:rsidRPr="001E3BFE">
        <w:rPr>
          <w:rStyle w:val="default"/>
          <w:rFonts w:ascii="David" w:hAnsi="David" w:cs="David"/>
          <w:sz w:val="24"/>
          <w:szCs w:val="24"/>
          <w:rtl/>
        </w:rPr>
        <w:t xml:space="preserve">. הנאשם בשנות השבעים לחייו, ללא עבר פלילי, סובל מבעיות רפואיות נדון לעונש של </w:t>
      </w:r>
      <w:r w:rsidRPr="001E3BFE">
        <w:rPr>
          <w:rStyle w:val="default"/>
          <w:rFonts w:ascii="David" w:hAnsi="David" w:cs="David"/>
          <w:b/>
          <w:bCs/>
          <w:sz w:val="24"/>
          <w:szCs w:val="24"/>
          <w:rtl/>
        </w:rPr>
        <w:t>14 חודשי מאסר בפועל</w:t>
      </w:r>
      <w:r w:rsidRPr="001E3BFE">
        <w:rPr>
          <w:rStyle w:val="default"/>
          <w:rFonts w:ascii="David" w:hAnsi="David" w:cs="David"/>
          <w:sz w:val="24"/>
          <w:szCs w:val="24"/>
          <w:rtl/>
        </w:rPr>
        <w:t>.</w:t>
      </w:r>
    </w:p>
    <w:p w:rsidR="001E3BFE" w:rsidRPr="001E3BFE" w:rsidRDefault="001E3BFE" w:rsidP="001E3BFE">
      <w:pPr>
        <w:pStyle w:val="a"/>
        <w:numPr>
          <w:ilvl w:val="1"/>
          <w:numId w:val="19"/>
        </w:numPr>
        <w:tabs>
          <w:tab w:val="num" w:pos="1286"/>
        </w:tabs>
        <w:ind w:left="1286" w:right="0" w:hanging="540"/>
        <w:jc w:val="both"/>
        <w:rPr>
          <w:rStyle w:val="default"/>
          <w:rFonts w:ascii="David" w:hAnsi="David" w:cs="David"/>
          <w:sz w:val="24"/>
          <w:szCs w:val="24"/>
        </w:rPr>
      </w:pPr>
      <w:r w:rsidRPr="001E3BFE">
        <w:rPr>
          <w:rStyle w:val="default"/>
          <w:rFonts w:ascii="David" w:hAnsi="David" w:cs="David"/>
          <w:sz w:val="24"/>
          <w:szCs w:val="24"/>
          <w:rtl/>
        </w:rPr>
        <w:t xml:space="preserve">בע"פ 10068/16 </w:t>
      </w:r>
      <w:r w:rsidRPr="001E3BFE">
        <w:rPr>
          <w:rStyle w:val="default"/>
          <w:rFonts w:ascii="David" w:hAnsi="David" w:cs="David"/>
          <w:b/>
          <w:bCs/>
          <w:sz w:val="24"/>
          <w:szCs w:val="24"/>
          <w:rtl/>
        </w:rPr>
        <w:t>פלוני נ' מדינת ישראל</w:t>
      </w:r>
      <w:r w:rsidRPr="001E3BFE">
        <w:rPr>
          <w:rStyle w:val="default"/>
          <w:rFonts w:ascii="David" w:hAnsi="David" w:cs="David"/>
          <w:sz w:val="24"/>
          <w:szCs w:val="24"/>
          <w:rtl/>
        </w:rPr>
        <w:t xml:space="preserve"> (9.1.18), דחה בית המשפט העליון ערעור נאשם אשר הורשע על פי הודאתו בשתי עבירות של מעשה מגונה בקטין בן משפחה. הנאשם היה נשוי לסבתו של נפגע העבירה – קטין בן 8, אשר הגיע להתארח בבית סבתו והנאשם למשך שבועיים. במהלך ביקורו בשתי הזדמנויות ביקש הנאשם מהקטין לשכב לצדו במיטה בתואנות שווא, הכניס את ידו למכנסיו של הקטין, נגע באיבר מינו וליטף את ישבנו. העבירות בוצעו כעשור טרם המשפט. בית המשפט קבע </w:t>
      </w:r>
      <w:r w:rsidRPr="001E3BFE">
        <w:rPr>
          <w:rStyle w:val="default"/>
          <w:rFonts w:ascii="David" w:hAnsi="David" w:cs="David"/>
          <w:b/>
          <w:bCs/>
          <w:sz w:val="24"/>
          <w:szCs w:val="24"/>
          <w:rtl/>
        </w:rPr>
        <w:t>מתחם עונש הנע בין שנה לבין 3 שנות מאסר בפועל</w:t>
      </w:r>
      <w:r w:rsidRPr="001E3BFE">
        <w:rPr>
          <w:rStyle w:val="default"/>
          <w:rFonts w:ascii="David" w:hAnsi="David" w:cs="David"/>
          <w:sz w:val="24"/>
          <w:szCs w:val="24"/>
          <w:rtl/>
        </w:rPr>
        <w:t xml:space="preserve">. הנאשם בן 78, חולה, ללא עבר פלילי שמסוכנותו נמצאה נמוכה, נדון לעונש </w:t>
      </w:r>
      <w:r w:rsidRPr="001E3BFE">
        <w:rPr>
          <w:rStyle w:val="default"/>
          <w:rFonts w:ascii="David" w:hAnsi="David" w:cs="David"/>
          <w:b/>
          <w:bCs/>
          <w:sz w:val="24"/>
          <w:szCs w:val="24"/>
          <w:rtl/>
        </w:rPr>
        <w:t>של 12 חודשי מאסר בפועל</w:t>
      </w:r>
      <w:r w:rsidRPr="001E3BFE">
        <w:rPr>
          <w:rStyle w:val="default"/>
          <w:rFonts w:ascii="David" w:hAnsi="David" w:cs="David"/>
          <w:sz w:val="24"/>
          <w:szCs w:val="24"/>
          <w:rtl/>
        </w:rPr>
        <w:t xml:space="preserve">. </w:t>
      </w:r>
    </w:p>
    <w:p w:rsidR="001E3BFE" w:rsidRPr="001E3BFE" w:rsidRDefault="001E3BFE" w:rsidP="001E3BFE">
      <w:pPr>
        <w:pStyle w:val="a0"/>
        <w:jc w:val="both"/>
      </w:pPr>
      <w:r w:rsidRPr="001E3BFE">
        <w:rPr>
          <w:rtl/>
        </w:rPr>
        <w:t xml:space="preserve">בהתאם לתיקון 113 לחוק העונשין (סעיף 40 </w:t>
      </w:r>
      <w:proofErr w:type="spellStart"/>
      <w:r w:rsidRPr="001E3BFE">
        <w:rPr>
          <w:rtl/>
        </w:rPr>
        <w:t>יג</w:t>
      </w:r>
      <w:proofErr w:type="spellEnd"/>
      <w:r w:rsidRPr="001E3BFE">
        <w:rPr>
          <w:rtl/>
        </w:rPr>
        <w:t xml:space="preserve">'), ובהתייחס לנסיבות העבירות בהן הורשע הנאשם, מידת פגיעתו בערכים המוגנים, העונש המזערי, ובהתאם למדיניות הענישה הנוהגת (אשר בחלקה העונשים נמוכים באופן ניכר מהעונש המזערי), אנו קובעים כי </w:t>
      </w:r>
      <w:r w:rsidRPr="001E3BFE">
        <w:rPr>
          <w:b/>
          <w:bCs/>
          <w:rtl/>
        </w:rPr>
        <w:t>מתחם העונש ההולם הוא החל ממאסר בן 3 שנים ותשעה חודשים ועד ל-5.5 שנות מאסר בפועל</w:t>
      </w:r>
      <w:r w:rsidRPr="001E3BFE">
        <w:rPr>
          <w:rtl/>
        </w:rPr>
        <w:t xml:space="preserve">.  </w:t>
      </w:r>
    </w:p>
    <w:p w:rsidR="002D579F" w:rsidRDefault="002D579F" w:rsidP="001E3BFE">
      <w:pPr>
        <w:pStyle w:val="a0"/>
        <w:numPr>
          <w:ilvl w:val="0"/>
          <w:numId w:val="0"/>
        </w:numPr>
        <w:tabs>
          <w:tab w:val="left" w:pos="720"/>
        </w:tabs>
        <w:rPr>
          <w:b/>
          <w:bCs/>
          <w:u w:val="single"/>
          <w:rtl/>
        </w:rPr>
      </w:pPr>
    </w:p>
    <w:p w:rsidR="001E3BFE" w:rsidRPr="001E3BFE" w:rsidRDefault="001E3BFE" w:rsidP="001E3BFE">
      <w:pPr>
        <w:pStyle w:val="a0"/>
        <w:numPr>
          <w:ilvl w:val="0"/>
          <w:numId w:val="0"/>
        </w:numPr>
        <w:tabs>
          <w:tab w:val="left" w:pos="720"/>
        </w:tabs>
        <w:rPr>
          <w:b/>
          <w:bCs/>
          <w:u w:val="single"/>
        </w:rPr>
      </w:pPr>
      <w:r w:rsidRPr="001E3BFE">
        <w:rPr>
          <w:b/>
          <w:bCs/>
          <w:u w:val="single"/>
          <w:rtl/>
        </w:rPr>
        <w:lastRenderedPageBreak/>
        <w:t>חריגה ממתחם העונש</w:t>
      </w:r>
    </w:p>
    <w:p w:rsidR="001E3BFE" w:rsidRPr="001E3BFE" w:rsidRDefault="001E3BFE" w:rsidP="001E3BFE">
      <w:pPr>
        <w:pStyle w:val="a0"/>
        <w:jc w:val="both"/>
      </w:pPr>
      <w:r w:rsidRPr="001E3BFE">
        <w:rPr>
          <w:rtl/>
        </w:rPr>
        <w:t xml:space="preserve">כידוע, בית המשפט רשאי במקרים המתאימים לבכר את שיקול השיקום על פני שיקולי ההלימה וההרתעה, ולחרוג לקולה ממתחם העונש ההולם. זאת במקרים שבהם הנאשם השתקם או כי יש סיכוי של ממש שישתקם. הליך שיקומי מוצלח הוא אינטרס ציבורי ראשון במעלה, וזאת בשל החשיבות להשיב את הנאשם לדרך הישר ולתפקוד חיובי כאשר הוא חוזר לחברה, ולצמצם הישנות עבירות. מצב דברים שבו עבריין נרתם כולו לשיקום, ועושה כל שביכולתו כדי לחזור לדרך הישר, עשוי להצדיק חריגה ממתחם העונש ההולם, כך שהעונש לא ייגְדַע את הדרך השיקומית שעבר. הפרמטרים המרכזיים אשר מצביעים על סיכויי שיקום גבוהים הם המוטיבציה שהפגין הנאשם להשתקם; השתלבות מוצלחת בהליכים טיפוליים שונים; אינדיקציות לשינוי עמוק בהתנהגות ובדרך החשיבה; הבעת חרטה כנה על המעשים והפגנת אמפתיה כלפי נפגעי העבירה (ראו דברי כב' השופט י' עמית בע"פ 1216/21 </w:t>
      </w:r>
      <w:r w:rsidRPr="001E3BFE">
        <w:rPr>
          <w:b/>
          <w:bCs/>
          <w:rtl/>
        </w:rPr>
        <w:t>לארי נ' מדינת ישראל</w:t>
      </w:r>
      <w:r w:rsidRPr="001E3BFE">
        <w:rPr>
          <w:rtl/>
        </w:rPr>
        <w:t xml:space="preserve"> (19.5.2022); כב' השופט נ' </w:t>
      </w:r>
      <w:proofErr w:type="spellStart"/>
      <w:r w:rsidRPr="001E3BFE">
        <w:rPr>
          <w:rtl/>
        </w:rPr>
        <w:t>סולברג</w:t>
      </w:r>
      <w:proofErr w:type="spellEnd"/>
      <w:r w:rsidRPr="001E3BFE">
        <w:rPr>
          <w:rtl/>
        </w:rPr>
        <w:t xml:space="preserve"> בע"פ 7353/18 </w:t>
      </w:r>
      <w:r w:rsidRPr="001E3BFE">
        <w:rPr>
          <w:b/>
          <w:bCs/>
          <w:rtl/>
        </w:rPr>
        <w:t>חדד נ' מדינת ישראל</w:t>
      </w:r>
      <w:r w:rsidRPr="001E3BFE">
        <w:rPr>
          <w:rtl/>
        </w:rPr>
        <w:t xml:space="preserve"> (1.5.2019)); כב' השופטת ד' ברק ארז בע"פ 6637/17 </w:t>
      </w:r>
      <w:proofErr w:type="spellStart"/>
      <w:r w:rsidRPr="001E3BFE">
        <w:rPr>
          <w:b/>
          <w:bCs/>
          <w:rtl/>
        </w:rPr>
        <w:t>קרנדל</w:t>
      </w:r>
      <w:proofErr w:type="spellEnd"/>
      <w:r w:rsidRPr="001E3BFE">
        <w:rPr>
          <w:b/>
          <w:bCs/>
          <w:rtl/>
        </w:rPr>
        <w:t xml:space="preserve"> נ' מדינת ישראל </w:t>
      </w:r>
      <w:r w:rsidRPr="001E3BFE">
        <w:rPr>
          <w:rtl/>
        </w:rPr>
        <w:t xml:space="preserve">(18.4.2018)). </w:t>
      </w:r>
    </w:p>
    <w:p w:rsidR="001E3BFE" w:rsidRPr="001E3BFE" w:rsidRDefault="001E3BFE" w:rsidP="001E3BFE">
      <w:pPr>
        <w:pStyle w:val="a0"/>
        <w:jc w:val="both"/>
      </w:pPr>
      <w:r w:rsidRPr="001E3BFE">
        <w:rPr>
          <w:rtl/>
        </w:rPr>
        <w:t xml:space="preserve">ככל שהעבירה בה הורשע הנאשם ונסיבותיה חמורות יותר, כך גובר הנטל המוטל על הנאשם להראות הליך שיקומי מתקדם יותר, או סיכויי שיקום מובהקים יותר, כדי להצדיק חריגה לקולה ממתחם העונש ההולם (ע"פ 9036/18 </w:t>
      </w:r>
      <w:r w:rsidRPr="001E3BFE">
        <w:rPr>
          <w:b/>
          <w:bCs/>
          <w:rtl/>
        </w:rPr>
        <w:t>פלוני נ' מדינת ישראל</w:t>
      </w:r>
      <w:r w:rsidRPr="001E3BFE">
        <w:rPr>
          <w:rtl/>
        </w:rPr>
        <w:t xml:space="preserve"> (27.1.2020); ע"פ 8068/21 </w:t>
      </w:r>
      <w:r w:rsidRPr="001E3BFE">
        <w:rPr>
          <w:b/>
          <w:bCs/>
          <w:rtl/>
        </w:rPr>
        <w:t xml:space="preserve">פלוני נ' מדינת ישראל </w:t>
      </w:r>
      <w:r w:rsidRPr="001E3BFE">
        <w:rPr>
          <w:rtl/>
        </w:rPr>
        <w:t xml:space="preserve">(4.4.2022)). כמו כן, לא בכל מקרה של הליך טיפולי חיובי יש להפעיל את הסמכות הקבועה בסעיף 40ד לחוק, אלא יש לנקוט זהירות רבה בהפעלת החריג, וזאת כדי שהחריג לא ירוקן מתוכן את הכלל לפיו יש לגזור את העונש במסגרת המתחם בהלימה לחומרת המעשה ולמידת האשם של הנאשם (ע"פ 126/22 </w:t>
      </w:r>
      <w:r w:rsidRPr="001E3BFE">
        <w:rPr>
          <w:b/>
          <w:bCs/>
          <w:rtl/>
        </w:rPr>
        <w:t>מדינת ישראל נ' פלוני</w:t>
      </w:r>
      <w:r w:rsidRPr="001E3BFE">
        <w:rPr>
          <w:rtl/>
        </w:rPr>
        <w:t xml:space="preserve"> (27.4.2022); ע"פ 1810/22 </w:t>
      </w:r>
      <w:r w:rsidRPr="001E3BFE">
        <w:rPr>
          <w:b/>
          <w:bCs/>
          <w:rtl/>
        </w:rPr>
        <w:t>מדינת ישראל נ' פלונית</w:t>
      </w:r>
      <w:r w:rsidRPr="001E3BFE">
        <w:rPr>
          <w:rtl/>
        </w:rPr>
        <w:t xml:space="preserve"> (31.5.2022)).</w:t>
      </w:r>
    </w:p>
    <w:p w:rsidR="001E3BFE" w:rsidRPr="001E3BFE" w:rsidRDefault="001E3BFE" w:rsidP="00D53DAC">
      <w:pPr>
        <w:pStyle w:val="a0"/>
        <w:jc w:val="both"/>
        <w:rPr>
          <w:rtl/>
        </w:rPr>
      </w:pPr>
      <w:r w:rsidRPr="001E3BFE">
        <w:rPr>
          <w:b/>
          <w:bCs/>
          <w:rtl/>
        </w:rPr>
        <w:t>על פי תסקירי שירות המבחן</w:t>
      </w:r>
      <w:r w:rsidRPr="001E3BFE">
        <w:rPr>
          <w:rtl/>
        </w:rPr>
        <w:t xml:space="preserve">, </w:t>
      </w:r>
      <w:r w:rsidR="00D53DAC">
        <w:rPr>
          <w:rFonts w:hint="cs"/>
          <w:rtl/>
        </w:rPr>
        <w:t>[הושמט].</w:t>
      </w:r>
    </w:p>
    <w:p w:rsidR="001E3BFE" w:rsidRPr="001E3BFE" w:rsidRDefault="001E3BFE" w:rsidP="00D53DAC">
      <w:pPr>
        <w:pStyle w:val="a0"/>
        <w:jc w:val="both"/>
        <w:rPr>
          <w:rStyle w:val="default"/>
          <w:rFonts w:ascii="David" w:hAnsi="David" w:cs="David"/>
          <w:sz w:val="24"/>
          <w:szCs w:val="24"/>
          <w:rtl/>
        </w:rPr>
      </w:pPr>
      <w:r w:rsidRPr="001E3BFE">
        <w:rPr>
          <w:b/>
          <w:bCs/>
          <w:rtl/>
        </w:rPr>
        <w:t>בהערכת המסוכנות המינית</w:t>
      </w:r>
      <w:r w:rsidRPr="001E3BFE">
        <w:rPr>
          <w:rtl/>
        </w:rPr>
        <w:t xml:space="preserve"> </w:t>
      </w:r>
      <w:r w:rsidR="00D53DAC">
        <w:rPr>
          <w:rFonts w:hint="cs"/>
          <w:rtl/>
        </w:rPr>
        <w:t>[הושמט].</w:t>
      </w:r>
    </w:p>
    <w:p w:rsidR="001E3BFE" w:rsidRPr="001E3BFE" w:rsidRDefault="001E3BFE" w:rsidP="00D53DAC">
      <w:pPr>
        <w:pStyle w:val="a0"/>
        <w:jc w:val="both"/>
      </w:pPr>
      <w:r w:rsidRPr="001E3BFE">
        <w:rPr>
          <w:b/>
          <w:bCs/>
          <w:rtl/>
        </w:rPr>
        <w:t xml:space="preserve">מעדות המטפלת בנאשם </w:t>
      </w:r>
      <w:r w:rsidRPr="001E3BFE">
        <w:rPr>
          <w:rtl/>
        </w:rPr>
        <w:t xml:space="preserve">הגב' מורן </w:t>
      </w:r>
      <w:proofErr w:type="spellStart"/>
      <w:r w:rsidRPr="001E3BFE">
        <w:rPr>
          <w:rtl/>
        </w:rPr>
        <w:t>דוידיאן</w:t>
      </w:r>
      <w:proofErr w:type="spellEnd"/>
      <w:r w:rsidRPr="001E3BFE">
        <w:rPr>
          <w:rtl/>
        </w:rPr>
        <w:t xml:space="preserve">, עו"ס וקרימינולוגית, </w:t>
      </w:r>
      <w:r w:rsidR="00D53DAC">
        <w:rPr>
          <w:rFonts w:hint="cs"/>
          <w:rtl/>
        </w:rPr>
        <w:t>[הושמט].</w:t>
      </w:r>
    </w:p>
    <w:p w:rsidR="001E3BFE" w:rsidRPr="001E3BFE" w:rsidRDefault="001E3BFE" w:rsidP="001E3BFE">
      <w:pPr>
        <w:pStyle w:val="a0"/>
        <w:jc w:val="both"/>
      </w:pPr>
      <w:r w:rsidRPr="001E3BFE">
        <w:rPr>
          <w:rtl/>
        </w:rPr>
        <w:t xml:space="preserve">מכל המקובץ עולה כי הנאשם אשר פנה באופן עצמאי לטיפול, מטופל באופן פרטני מזה כשנתיים. הטיפול עוסק בגורמי הסיכון במצבו הכוללים בין היתר תחושת קורבנות ותסכול, "מעגל העבירה" והגברת נטילת האחריות לחייו בכלל ולמעשיו בעבירה בפרט. להתרשמות גורמי הטיפול, הנאשם, אף אם בקצב איטי, מסוגל כיום לגלות אחריות רבה יותר למעשיו בעבירה ולהשלכות המעשים על נפגעת העבירה ועל בני משפחתה והוא מביע אמפתיה כלפיהם. מהערכת המסוכנות עולה כי במסגרת הטיפול הצליח הנאשם לפתח באופן הדרגתי תובנה לגבי מצבו והתחזק במישור התפקודי והרגשי. עם זאת, מדובר בתהליך איטי מאוד, </w:t>
      </w:r>
      <w:r w:rsidRPr="001E3BFE">
        <w:rPr>
          <w:rtl/>
        </w:rPr>
        <w:lastRenderedPageBreak/>
        <w:t xml:space="preserve">כאשר למרות תקופת הטיפול הממושכת, מהערכת המסוכנות עולה כי עדיין הנאשם מחזיק בעמדה </w:t>
      </w:r>
      <w:proofErr w:type="spellStart"/>
      <w:r w:rsidRPr="001E3BFE">
        <w:rPr>
          <w:rtl/>
        </w:rPr>
        <w:t>קורבנית</w:t>
      </w:r>
      <w:proofErr w:type="spellEnd"/>
      <w:r w:rsidRPr="001E3BFE">
        <w:rPr>
          <w:rtl/>
        </w:rPr>
        <w:t xml:space="preserve"> ביחסו לעבירות, מוקד השליטה שלו חיצוני, הוא אינו מחובר למצבי הסיכון ואינו מכיר את מרכיבי מעגל הפגיעה, אף שמדובר בנושאים שבהם עסק בטיפול. בשלב זה, אפוא, לא ניתן לקבוע שהנאשם השתקם. עם זאת, הנאשם פנה באופן עצמאי לטיפול, התמיד בטיפול במשך כשנתיים, הביע נכונות להמשך הטיפול, וכן התקדם בנטילת האחריות ופיתוח תובנה לגבי מצבו – כל אלה מצביעים כי קיים סיכוי של ממש שהנאשם ישתקם באופן אשר מצדיק חריגה מסוימת לקולה מתחתית מתחם העונש ההולם (אשר נקבע בשים לב לעונש המזערי).</w:t>
      </w:r>
    </w:p>
    <w:p w:rsidR="001E3BFE" w:rsidRPr="001E3BFE" w:rsidRDefault="001E3BFE" w:rsidP="001E3BFE">
      <w:pPr>
        <w:pStyle w:val="a0"/>
        <w:jc w:val="both"/>
      </w:pPr>
      <w:r w:rsidRPr="001E3BFE">
        <w:rPr>
          <w:rtl/>
        </w:rPr>
        <w:t xml:space="preserve">נתנו דעתנו לכך שככלל בעבירות מסוג זה, נסיבותיו האישיות של הנאשם נסוגות מול עקרונות ההלימה והרתעת היחיד והרבים וכי על העונש לשקף את הסלידה של החברה מעבירות מין כלפי קטינים, גם כאשר הנאשם עבר הליך טיפולי ובפרט כאשר ממתינה לו עוד כברת דרך טיפולית משמעותית לשם שיקומו (בעניין זה ראו ע"פ 8068/21 </w:t>
      </w:r>
      <w:r w:rsidRPr="001E3BFE">
        <w:rPr>
          <w:b/>
          <w:bCs/>
          <w:rtl/>
        </w:rPr>
        <w:t>פלוני נ' מדינת ישראל</w:t>
      </w:r>
      <w:r w:rsidRPr="001E3BFE">
        <w:rPr>
          <w:rtl/>
        </w:rPr>
        <w:t xml:space="preserve"> (4.4.2022) וע"פ 9036/18 </w:t>
      </w:r>
      <w:r w:rsidRPr="001E3BFE">
        <w:rPr>
          <w:b/>
          <w:bCs/>
          <w:rtl/>
        </w:rPr>
        <w:t>פלוני נ' מדינת ישראל</w:t>
      </w:r>
      <w:r w:rsidRPr="001E3BFE">
        <w:rPr>
          <w:rtl/>
        </w:rPr>
        <w:t xml:space="preserve"> (27.1.2018)). </w:t>
      </w:r>
    </w:p>
    <w:p w:rsidR="001E3BFE" w:rsidRPr="001E3BFE" w:rsidRDefault="001E3BFE" w:rsidP="001E3BFE">
      <w:pPr>
        <w:pStyle w:val="a0"/>
        <w:numPr>
          <w:ilvl w:val="0"/>
          <w:numId w:val="0"/>
        </w:numPr>
        <w:tabs>
          <w:tab w:val="left" w:pos="720"/>
        </w:tabs>
        <w:ind w:left="720"/>
        <w:jc w:val="both"/>
        <w:rPr>
          <w:lang w:eastAsia="he-IL"/>
        </w:rPr>
      </w:pPr>
      <w:r w:rsidRPr="001E3BFE">
        <w:rPr>
          <w:rtl/>
          <w:lang w:eastAsia="he-IL"/>
        </w:rPr>
        <w:t xml:space="preserve">אנו סבורים כי עונש של עבודות שירות כהמלצת שירות המבחן במקרה זה, יוביל לפגיעה בלתי מידתית בעקרונות אלה, זאת בהתחשב בהיקף המוגבל של ההליך השיקומי שעבר הנאשם. מכאן, שלא מצאנו לקבל את המלצת שירות המבחן להטלת עונש של עבודות שירות, ואולם יש לתת להמלצה זו משקל במכלול השיקולים הכוללים את התמדתו בטיפול והתקדמותו כמתואר כמו גם את הערכת המסוכנות שנמצאה כנמוכה-בינונית, בקביעת מידת החריגה ממתחם העונש, אף אם לא לעונש מאסר לריצוי בעבודות שירות. </w:t>
      </w:r>
    </w:p>
    <w:p w:rsidR="001E3BFE" w:rsidRPr="001E3BFE" w:rsidRDefault="001E3BFE" w:rsidP="001E3BFE">
      <w:pPr>
        <w:pStyle w:val="ae"/>
        <w:rPr>
          <w:rFonts w:ascii="David" w:hAnsi="David"/>
          <w:rtl/>
        </w:rPr>
      </w:pPr>
    </w:p>
    <w:p w:rsidR="001E3BFE" w:rsidRPr="001E3BFE" w:rsidRDefault="001E3BFE" w:rsidP="001E3BFE">
      <w:pPr>
        <w:pStyle w:val="ae"/>
        <w:rPr>
          <w:rFonts w:ascii="David" w:hAnsi="David"/>
        </w:rPr>
      </w:pPr>
      <w:r w:rsidRPr="001E3BFE">
        <w:rPr>
          <w:rFonts w:ascii="David" w:hAnsi="David"/>
          <w:rtl/>
        </w:rPr>
        <w:t>גזירת העונש המתאים לנאשם</w:t>
      </w:r>
    </w:p>
    <w:p w:rsidR="001E3BFE" w:rsidRPr="001E3BFE" w:rsidRDefault="001E3BFE" w:rsidP="001E3BFE">
      <w:pPr>
        <w:pStyle w:val="a0"/>
        <w:jc w:val="both"/>
        <w:rPr>
          <w:rStyle w:val="default"/>
          <w:rFonts w:ascii="David" w:hAnsi="David" w:cs="David"/>
          <w:sz w:val="24"/>
          <w:szCs w:val="24"/>
          <w:rtl/>
        </w:rPr>
      </w:pPr>
      <w:r w:rsidRPr="001E3BFE">
        <w:rPr>
          <w:rtl/>
        </w:rPr>
        <w:t xml:space="preserve">בגזירת העונש המתאים לנאשם, תוך חריגה ממתחם העונש ההולם, יש להתחשב </w:t>
      </w:r>
      <w:r w:rsidRPr="001E3BFE">
        <w:rPr>
          <w:b/>
          <w:bCs/>
          <w:rtl/>
        </w:rPr>
        <w:t>בנסיבות שאינן קשורות בביצוע העבירה</w:t>
      </w:r>
      <w:r w:rsidRPr="001E3BFE">
        <w:rPr>
          <w:rtl/>
        </w:rPr>
        <w:t xml:space="preserve">. במסגרת זו </w:t>
      </w:r>
      <w:r w:rsidRPr="001E3BFE">
        <w:rPr>
          <w:rStyle w:val="default"/>
          <w:rFonts w:ascii="David" w:hAnsi="David" w:cs="David"/>
          <w:sz w:val="24"/>
          <w:szCs w:val="24"/>
          <w:rtl/>
        </w:rPr>
        <w:t xml:space="preserve">מן הראוי לתת את הדעת לכך שהנאשם בן 73, סובל מבעיות רפואיות, בין היתר סכרת ויתר לחץ דם, וזקוק למעקב רפואי שגרתי. ממסמכים רפואיים שהגיש הנאשם (ע/1) ובכללם סיכום אשפוז, עולה כי הנאשם סובל ממספר מחלות כרוניות בין היתר מסכרת ומבעיית כליות, לאחרונה הגיע לבית החולים עקב כאבים בחזה וקשיי נשימה, נשלל אירוע כלילי (לבבי) חד, בוצע בו </w:t>
      </w:r>
      <w:proofErr w:type="spellStart"/>
      <w:r w:rsidRPr="001E3BFE">
        <w:rPr>
          <w:rStyle w:val="default"/>
          <w:rFonts w:ascii="David" w:hAnsi="David" w:cs="David"/>
          <w:sz w:val="24"/>
          <w:szCs w:val="24"/>
          <w:rtl/>
        </w:rPr>
        <w:t>צינתור</w:t>
      </w:r>
      <w:proofErr w:type="spellEnd"/>
      <w:r w:rsidRPr="001E3BFE">
        <w:rPr>
          <w:rStyle w:val="default"/>
          <w:rFonts w:ascii="David" w:hAnsi="David" w:cs="David"/>
          <w:sz w:val="24"/>
          <w:szCs w:val="24"/>
          <w:rtl/>
        </w:rPr>
        <w:t xml:space="preserve"> והוא טופל בהתאם לממצאים. הומלץ על המשך מעקב קרדיולוגי. בצד האמור אין להתעלם מכך כי העבירות בוצעו בהיות הנאשם כבן 70 וחרף מצבו הרפואי הבלתי שפיר כבר באותה העת. </w:t>
      </w:r>
    </w:p>
    <w:p w:rsidR="001E3BFE" w:rsidRPr="001E3BFE" w:rsidRDefault="001E3BFE" w:rsidP="001E3469">
      <w:pPr>
        <w:pStyle w:val="a0"/>
        <w:numPr>
          <w:ilvl w:val="0"/>
          <w:numId w:val="0"/>
        </w:numPr>
        <w:tabs>
          <w:tab w:val="left" w:pos="720"/>
        </w:tabs>
        <w:ind w:left="720"/>
        <w:jc w:val="both"/>
        <w:rPr>
          <w:rStyle w:val="default"/>
          <w:rFonts w:ascii="David" w:hAnsi="David" w:cs="David"/>
          <w:sz w:val="24"/>
          <w:szCs w:val="24"/>
        </w:rPr>
      </w:pPr>
      <w:r w:rsidRPr="001E3BFE">
        <w:rPr>
          <w:rStyle w:val="default"/>
          <w:rFonts w:ascii="David" w:hAnsi="David" w:cs="David"/>
          <w:sz w:val="24"/>
          <w:szCs w:val="24"/>
          <w:rtl/>
        </w:rPr>
        <w:t xml:space="preserve">הנאשם תפקד לאורך השנים באופן תקין והוא נעדר עבר פלילי. </w:t>
      </w:r>
      <w:r w:rsidR="001E3469">
        <w:rPr>
          <w:rStyle w:val="default"/>
          <w:rFonts w:ascii="David" w:hAnsi="David" w:cs="David" w:hint="cs"/>
          <w:sz w:val="24"/>
          <w:szCs w:val="24"/>
          <w:rtl/>
        </w:rPr>
        <w:t>[הושמט].</w:t>
      </w:r>
      <w:r w:rsidRPr="001E3BFE">
        <w:rPr>
          <w:rStyle w:val="default"/>
          <w:rFonts w:ascii="David" w:hAnsi="David" w:cs="David"/>
          <w:sz w:val="24"/>
          <w:szCs w:val="24"/>
          <w:rtl/>
        </w:rPr>
        <w:t xml:space="preserve"> מכתבי ההערכה שהציג (ע/1) מלמדים שהיה עובד מסור ומוערך. מאז גיל 48 לא הצליח להשתלב תעסוקתית. </w:t>
      </w:r>
    </w:p>
    <w:p w:rsidR="001E3BFE" w:rsidRPr="001E3BFE" w:rsidRDefault="001E3BFE" w:rsidP="001E3BFE">
      <w:pPr>
        <w:pStyle w:val="a0"/>
        <w:numPr>
          <w:ilvl w:val="0"/>
          <w:numId w:val="0"/>
        </w:numPr>
        <w:tabs>
          <w:tab w:val="left" w:pos="720"/>
        </w:tabs>
        <w:ind w:left="720"/>
        <w:jc w:val="both"/>
        <w:rPr>
          <w:rStyle w:val="default"/>
          <w:rFonts w:ascii="David" w:hAnsi="David" w:cs="David"/>
          <w:sz w:val="24"/>
          <w:szCs w:val="24"/>
        </w:rPr>
      </w:pPr>
      <w:r w:rsidRPr="001E3BFE">
        <w:rPr>
          <w:rStyle w:val="default"/>
          <w:rFonts w:ascii="David" w:hAnsi="David" w:cs="David"/>
          <w:sz w:val="24"/>
          <w:szCs w:val="24"/>
          <w:rtl/>
        </w:rPr>
        <w:lastRenderedPageBreak/>
        <w:t xml:space="preserve">מובן כי עונש מאסר ממושך יקשה על הנאשם בהיותו מאסר ראשון ובפרט לנוכח גילו המבוגר ומצבו הרפואי המורכב. </w:t>
      </w:r>
    </w:p>
    <w:p w:rsidR="001E3BFE" w:rsidRPr="001E3BFE" w:rsidRDefault="001E3BFE" w:rsidP="001E3BFE">
      <w:pPr>
        <w:pStyle w:val="a"/>
        <w:numPr>
          <w:ilvl w:val="0"/>
          <w:numId w:val="0"/>
        </w:numPr>
        <w:tabs>
          <w:tab w:val="left" w:pos="720"/>
        </w:tabs>
        <w:ind w:left="707" w:right="0"/>
        <w:jc w:val="both"/>
        <w:rPr>
          <w:rStyle w:val="default"/>
          <w:rFonts w:ascii="David" w:hAnsi="David" w:cs="David"/>
          <w:sz w:val="24"/>
          <w:szCs w:val="24"/>
          <w:rtl/>
        </w:rPr>
      </w:pPr>
      <w:r w:rsidRPr="001E3BFE">
        <w:rPr>
          <w:rStyle w:val="default"/>
          <w:rFonts w:ascii="David" w:hAnsi="David" w:cs="David"/>
          <w:sz w:val="24"/>
          <w:szCs w:val="24"/>
          <w:rtl/>
        </w:rPr>
        <w:t>הנאשם הודה ונטל אחריות למעשיו כבר בשלב מוקדם במסגרת הליך השימוע שנערך לו. בדבריו לעונש וכן במכתב שהגיש לבית המשפט (ע/2) הביע הנאשם חרטה ובושה על מעשיו, ציין כי מבין את השלכות מעשיו על נפגעת העבירה ופנה לקבלת טיפול כדי להבין את הרקע למעשיו ולהימנע ממעשים דומים בעתיד. ביקש להתנצל בפני נפגעת העבירה ומשפחתה על מעשיו.</w:t>
      </w:r>
    </w:p>
    <w:p w:rsidR="001E3BFE" w:rsidRPr="001E3BFE" w:rsidRDefault="001E3BFE" w:rsidP="001E3BFE">
      <w:pPr>
        <w:pStyle w:val="a0"/>
        <w:numPr>
          <w:ilvl w:val="0"/>
          <w:numId w:val="0"/>
        </w:numPr>
        <w:tabs>
          <w:tab w:val="left" w:pos="720"/>
        </w:tabs>
        <w:ind w:left="720"/>
        <w:jc w:val="both"/>
        <w:rPr>
          <w:rStyle w:val="default"/>
          <w:rFonts w:ascii="David" w:hAnsi="David" w:cs="David"/>
          <w:sz w:val="24"/>
          <w:szCs w:val="24"/>
          <w:rtl/>
        </w:rPr>
      </w:pPr>
      <w:r w:rsidRPr="001E3BFE">
        <w:rPr>
          <w:rStyle w:val="default"/>
          <w:rFonts w:ascii="David" w:hAnsi="David" w:cs="David"/>
          <w:sz w:val="24"/>
          <w:szCs w:val="24"/>
          <w:rtl/>
        </w:rPr>
        <w:t xml:space="preserve">נתנו דעתנו לכך שהנאשם הפקיד סך של 75,000 ₪ לטובת פיצוי הקטינה נפגעת העבירה וניתן לראות בכך ביטוי נוסף לנטילת אחריות והבנה בדבר השלכות מעשיו והצורך לפצות בגינם. </w:t>
      </w:r>
    </w:p>
    <w:p w:rsidR="001E3BFE" w:rsidRPr="001E3BFE" w:rsidRDefault="001E3BFE" w:rsidP="001E3BFE">
      <w:pPr>
        <w:pStyle w:val="a0"/>
        <w:numPr>
          <w:ilvl w:val="0"/>
          <w:numId w:val="0"/>
        </w:numPr>
        <w:tabs>
          <w:tab w:val="left" w:pos="720"/>
        </w:tabs>
        <w:ind w:left="720"/>
        <w:jc w:val="both"/>
        <w:rPr>
          <w:rStyle w:val="default"/>
          <w:rFonts w:ascii="David" w:hAnsi="David" w:cs="David"/>
          <w:sz w:val="24"/>
          <w:szCs w:val="24"/>
        </w:rPr>
      </w:pPr>
      <w:r w:rsidRPr="001E3BFE">
        <w:rPr>
          <w:rStyle w:val="default"/>
          <w:rFonts w:ascii="David" w:hAnsi="David" w:cs="David"/>
          <w:sz w:val="24"/>
          <w:szCs w:val="24"/>
          <w:rtl/>
        </w:rPr>
        <w:t>כמו כן לקחנו בחשבון את חלוף הזמן בן שלוש השנים שחלף מעת ביצוע העבירות.</w:t>
      </w:r>
    </w:p>
    <w:p w:rsidR="001E3BFE" w:rsidRPr="001E3BFE" w:rsidRDefault="001E3BFE" w:rsidP="001E3BFE">
      <w:pPr>
        <w:pStyle w:val="a0"/>
        <w:jc w:val="both"/>
        <w:rPr>
          <w:rtl/>
        </w:rPr>
      </w:pPr>
      <w:r w:rsidRPr="001E3BFE">
        <w:rPr>
          <w:rtl/>
        </w:rPr>
        <w:t xml:space="preserve">עוד יש לתת את הדעת לשיקול </w:t>
      </w:r>
      <w:r w:rsidRPr="001E3BFE">
        <w:rPr>
          <w:b/>
          <w:bCs/>
          <w:rtl/>
        </w:rPr>
        <w:t>הרתעת היחיד</w:t>
      </w:r>
      <w:r w:rsidRPr="001E3BFE">
        <w:rPr>
          <w:rtl/>
        </w:rPr>
        <w:t xml:space="preserve"> וזאת בשים לב לכך שהנאשם טרם סיים את ההליך השיקומי </w:t>
      </w:r>
      <w:r w:rsidRPr="001E3BFE">
        <w:rPr>
          <w:rStyle w:val="default"/>
          <w:rFonts w:ascii="David" w:hAnsi="David" w:cs="David"/>
          <w:sz w:val="24"/>
          <w:szCs w:val="24"/>
          <w:rtl/>
        </w:rPr>
        <w:t>וקיימים</w:t>
      </w:r>
      <w:r w:rsidRPr="001E3BFE">
        <w:rPr>
          <w:rtl/>
        </w:rPr>
        <w:t xml:space="preserve"> גורמי סיכון במצבו. כמו כן יש לתת את הדעת לשיקול </w:t>
      </w:r>
      <w:r w:rsidRPr="001E3BFE">
        <w:rPr>
          <w:b/>
          <w:bCs/>
          <w:rtl/>
        </w:rPr>
        <w:t>הרתעת הרבים</w:t>
      </w:r>
      <w:r w:rsidRPr="001E3BFE">
        <w:rPr>
          <w:rtl/>
        </w:rPr>
        <w:t xml:space="preserve">, בשים לב לכך שעבירות מין בקטינים במשפחה נעשות על פי רוב בחדרי חדרים, באופן המקל על ביצוען ומקשה על גילוין, ובשים לב לפסיקת בית המשפט העליון המורה על מתן משקל לשיקולי הרתעת הרבים בקביעת עונשם של מבצעי עבירות מין אלה (ראו בע"פ 2783/22 </w:t>
      </w:r>
      <w:proofErr w:type="spellStart"/>
      <w:r w:rsidRPr="001E3BFE">
        <w:rPr>
          <w:b/>
          <w:bCs/>
          <w:rtl/>
        </w:rPr>
        <w:t>דאבוש</w:t>
      </w:r>
      <w:proofErr w:type="spellEnd"/>
      <w:r w:rsidRPr="001E3BFE">
        <w:rPr>
          <w:b/>
          <w:bCs/>
          <w:rtl/>
        </w:rPr>
        <w:t xml:space="preserve"> נ' מדינת ישראל</w:t>
      </w:r>
      <w:r w:rsidRPr="001E3BFE">
        <w:rPr>
          <w:rtl/>
        </w:rPr>
        <w:t xml:space="preserve"> (12.5.2023) וע"פ 8068/21 </w:t>
      </w:r>
      <w:r w:rsidRPr="001E3BFE">
        <w:rPr>
          <w:b/>
          <w:bCs/>
          <w:rtl/>
        </w:rPr>
        <w:t>פלוני נ' מדינת ישראל</w:t>
      </w:r>
      <w:r w:rsidRPr="001E3BFE">
        <w:rPr>
          <w:rtl/>
        </w:rPr>
        <w:t xml:space="preserve"> (4.4.2022)). </w:t>
      </w:r>
    </w:p>
    <w:p w:rsidR="001E3BFE" w:rsidRDefault="001E3BFE" w:rsidP="001E3BFE">
      <w:pPr>
        <w:pStyle w:val="a0"/>
        <w:jc w:val="both"/>
      </w:pPr>
      <w:r w:rsidRPr="001E3BFE">
        <w:rPr>
          <w:rStyle w:val="default"/>
          <w:rFonts w:ascii="David" w:hAnsi="David" w:cs="David"/>
          <w:sz w:val="24"/>
          <w:szCs w:val="24"/>
          <w:rtl/>
        </w:rPr>
        <w:t xml:space="preserve">באיזון בין השיקולים השונים, אנו סבורים כי יש לגזור על הנאשם עונש מאסר בפועל החורג לקולה במידה מסוימת ממתחם העונש ההולם, לצד מאסר מותנה ופיצוי כספי לנפגעת העבירה בגין הנזקים שנגרמו לה. </w:t>
      </w:r>
    </w:p>
    <w:p w:rsidR="001E3BFE" w:rsidRPr="001E3BFE" w:rsidRDefault="001E3BFE" w:rsidP="001E3BFE">
      <w:pPr>
        <w:pStyle w:val="a0"/>
        <w:numPr>
          <w:ilvl w:val="0"/>
          <w:numId w:val="0"/>
        </w:numPr>
        <w:ind w:left="720"/>
        <w:jc w:val="both"/>
      </w:pPr>
    </w:p>
    <w:p w:rsidR="001E3BFE" w:rsidRPr="001E3BFE" w:rsidRDefault="001E3BFE" w:rsidP="001E3BFE">
      <w:pPr>
        <w:pStyle w:val="a"/>
        <w:numPr>
          <w:ilvl w:val="0"/>
          <w:numId w:val="0"/>
        </w:numPr>
        <w:tabs>
          <w:tab w:val="left" w:pos="720"/>
        </w:tabs>
        <w:ind w:right="0"/>
        <w:jc w:val="both"/>
        <w:rPr>
          <w:rFonts w:ascii="David" w:hAnsi="David"/>
          <w:b/>
          <w:bCs/>
          <w:u w:val="single"/>
        </w:rPr>
      </w:pPr>
      <w:r w:rsidRPr="001E3BFE">
        <w:rPr>
          <w:rFonts w:ascii="David" w:hAnsi="David"/>
          <w:b/>
          <w:bCs/>
          <w:u w:val="single"/>
          <w:rtl/>
        </w:rPr>
        <w:t>סוף דבר</w:t>
      </w:r>
    </w:p>
    <w:p w:rsidR="001E3BFE" w:rsidRDefault="001E3BFE" w:rsidP="001E3BFE">
      <w:pPr>
        <w:pStyle w:val="a0"/>
        <w:jc w:val="both"/>
      </w:pPr>
      <w:r w:rsidRPr="001E3BFE">
        <w:rPr>
          <w:b/>
          <w:bCs/>
          <w:u w:val="single"/>
          <w:rtl/>
        </w:rPr>
        <w:t>אשר על-כן, אנו גוזרים על הנאשם את העונשים הבאים</w:t>
      </w:r>
      <w:r w:rsidRPr="001E3BFE">
        <w:rPr>
          <w:rtl/>
        </w:rPr>
        <w:t>:</w:t>
      </w:r>
    </w:p>
    <w:p w:rsidR="00E939C5" w:rsidRPr="001E3BFE" w:rsidRDefault="00E939C5" w:rsidP="00E939C5">
      <w:pPr>
        <w:pStyle w:val="a0"/>
        <w:numPr>
          <w:ilvl w:val="0"/>
          <w:numId w:val="0"/>
        </w:numPr>
        <w:ind w:left="720"/>
        <w:jc w:val="both"/>
        <w:rPr>
          <w:rtl/>
        </w:rPr>
      </w:pPr>
    </w:p>
    <w:p w:rsidR="001E3BFE" w:rsidRDefault="001E3BFE" w:rsidP="001E3BFE">
      <w:pPr>
        <w:pStyle w:val="a"/>
        <w:numPr>
          <w:ilvl w:val="1"/>
          <w:numId w:val="19"/>
        </w:numPr>
        <w:tabs>
          <w:tab w:val="num" w:pos="1286"/>
        </w:tabs>
        <w:ind w:left="1287" w:right="0" w:hanging="539"/>
        <w:jc w:val="both"/>
        <w:rPr>
          <w:rStyle w:val="default"/>
          <w:rFonts w:ascii="David" w:hAnsi="David" w:cs="David"/>
          <w:sz w:val="24"/>
          <w:szCs w:val="24"/>
        </w:rPr>
      </w:pPr>
      <w:r w:rsidRPr="001E3BFE">
        <w:rPr>
          <w:rStyle w:val="default"/>
          <w:rFonts w:ascii="David" w:hAnsi="David" w:cs="David"/>
          <w:b/>
          <w:bCs/>
          <w:sz w:val="24"/>
          <w:szCs w:val="24"/>
          <w:rtl/>
        </w:rPr>
        <w:t>27 חודשי מאסר בפועל</w:t>
      </w:r>
      <w:r w:rsidRPr="001E3BFE">
        <w:rPr>
          <w:rStyle w:val="default"/>
          <w:rFonts w:ascii="David" w:hAnsi="David" w:cs="David"/>
          <w:sz w:val="24"/>
          <w:szCs w:val="24"/>
          <w:rtl/>
        </w:rPr>
        <w:t xml:space="preserve">. </w:t>
      </w:r>
    </w:p>
    <w:p w:rsidR="00E939C5" w:rsidRPr="001E3BFE" w:rsidRDefault="00E939C5" w:rsidP="00E939C5">
      <w:pPr>
        <w:pStyle w:val="a"/>
        <w:numPr>
          <w:ilvl w:val="0"/>
          <w:numId w:val="0"/>
        </w:numPr>
        <w:ind w:left="1287" w:right="0"/>
        <w:jc w:val="both"/>
        <w:rPr>
          <w:rStyle w:val="default"/>
          <w:rFonts w:ascii="David" w:hAnsi="David" w:cs="David"/>
          <w:sz w:val="24"/>
          <w:szCs w:val="24"/>
          <w:rtl/>
        </w:rPr>
      </w:pPr>
    </w:p>
    <w:p w:rsidR="001E3BFE" w:rsidRDefault="001E3BFE" w:rsidP="001E3BFE">
      <w:pPr>
        <w:pStyle w:val="a"/>
        <w:numPr>
          <w:ilvl w:val="1"/>
          <w:numId w:val="19"/>
        </w:numPr>
        <w:tabs>
          <w:tab w:val="num" w:pos="1286"/>
        </w:tabs>
        <w:ind w:left="1287" w:right="0" w:hanging="540"/>
        <w:jc w:val="both"/>
        <w:rPr>
          <w:rStyle w:val="default"/>
          <w:rFonts w:ascii="David" w:hAnsi="David" w:cs="David"/>
          <w:sz w:val="24"/>
          <w:szCs w:val="24"/>
        </w:rPr>
      </w:pPr>
      <w:r w:rsidRPr="001E3BFE">
        <w:rPr>
          <w:rStyle w:val="default"/>
          <w:rFonts w:ascii="David" w:hAnsi="David" w:cs="David"/>
          <w:sz w:val="24"/>
          <w:szCs w:val="24"/>
          <w:rtl/>
        </w:rPr>
        <w:t>12 חודשי מאסר על תנאי, לבל יעבור הנאשם במשך 3 שנים מיום שחרורו ממאסר כל עבירת מין מסוג פשע.</w:t>
      </w:r>
    </w:p>
    <w:p w:rsidR="00E939C5" w:rsidRDefault="00E939C5" w:rsidP="00E939C5">
      <w:pPr>
        <w:pStyle w:val="af0"/>
        <w:rPr>
          <w:rStyle w:val="default"/>
          <w:rFonts w:ascii="David" w:hAnsi="David" w:cs="David"/>
          <w:sz w:val="24"/>
          <w:szCs w:val="24"/>
          <w:rtl/>
        </w:rPr>
      </w:pPr>
    </w:p>
    <w:p w:rsidR="00E939C5" w:rsidRPr="001E3BFE" w:rsidRDefault="00E939C5" w:rsidP="00E939C5">
      <w:pPr>
        <w:pStyle w:val="a"/>
        <w:numPr>
          <w:ilvl w:val="0"/>
          <w:numId w:val="0"/>
        </w:numPr>
        <w:ind w:left="1287" w:right="0"/>
        <w:jc w:val="both"/>
        <w:rPr>
          <w:rStyle w:val="default"/>
          <w:rFonts w:ascii="David" w:hAnsi="David" w:cs="David"/>
          <w:sz w:val="24"/>
          <w:szCs w:val="24"/>
        </w:rPr>
      </w:pPr>
    </w:p>
    <w:p w:rsidR="001E3BFE" w:rsidRDefault="001E3BFE" w:rsidP="001E3BFE">
      <w:pPr>
        <w:pStyle w:val="a"/>
        <w:numPr>
          <w:ilvl w:val="1"/>
          <w:numId w:val="19"/>
        </w:numPr>
        <w:tabs>
          <w:tab w:val="num" w:pos="1286"/>
        </w:tabs>
        <w:ind w:left="1287" w:right="0" w:hanging="540"/>
        <w:jc w:val="both"/>
        <w:rPr>
          <w:rStyle w:val="default"/>
          <w:rFonts w:ascii="David" w:hAnsi="David" w:cs="David"/>
          <w:sz w:val="24"/>
          <w:szCs w:val="24"/>
        </w:rPr>
      </w:pPr>
      <w:r w:rsidRPr="001E3BFE">
        <w:rPr>
          <w:rStyle w:val="default"/>
          <w:rFonts w:ascii="David" w:hAnsi="David" w:cs="David"/>
          <w:sz w:val="24"/>
          <w:szCs w:val="24"/>
          <w:rtl/>
        </w:rPr>
        <w:t>6 חודשי מאסר על תנאי, לבל יעבור הנאשם במשך שנתיים מיום שחרורו ממאסר כל עבירת מין מסוג עוון.</w:t>
      </w:r>
    </w:p>
    <w:p w:rsidR="00E939C5" w:rsidRPr="001E3BFE" w:rsidRDefault="00E939C5" w:rsidP="00E939C5">
      <w:pPr>
        <w:pStyle w:val="a"/>
        <w:numPr>
          <w:ilvl w:val="0"/>
          <w:numId w:val="0"/>
        </w:numPr>
        <w:ind w:left="1287" w:right="0"/>
        <w:jc w:val="both"/>
        <w:rPr>
          <w:rStyle w:val="default"/>
          <w:rFonts w:ascii="David" w:hAnsi="David" w:cs="David"/>
          <w:sz w:val="24"/>
          <w:szCs w:val="24"/>
        </w:rPr>
      </w:pPr>
    </w:p>
    <w:p w:rsidR="001E3BFE" w:rsidRPr="001E3BFE" w:rsidRDefault="001E3BFE" w:rsidP="001E3BFE">
      <w:pPr>
        <w:pStyle w:val="a"/>
        <w:numPr>
          <w:ilvl w:val="1"/>
          <w:numId w:val="19"/>
        </w:numPr>
        <w:tabs>
          <w:tab w:val="num" w:pos="1286"/>
        </w:tabs>
        <w:ind w:left="1287" w:right="0" w:hanging="540"/>
        <w:jc w:val="both"/>
        <w:rPr>
          <w:rFonts w:ascii="David" w:hAnsi="David"/>
          <w:lang w:eastAsia="he-IL"/>
        </w:rPr>
      </w:pPr>
      <w:r w:rsidRPr="001E3BFE">
        <w:rPr>
          <w:rFonts w:ascii="David" w:hAnsi="David"/>
          <w:rtl/>
          <w:lang w:eastAsia="he-IL"/>
        </w:rPr>
        <w:t>פיצוי בסך 75,000 ₪ לקטינה נפגעת העבירה. הפיצוי הופקד במזכירות בית המשפט, ויועבר לאימה של הקטינה, אשר תחזיק את הסכום בנאמנות עבורה, עד שימלאו לקטינה 18 שנים. ואולם, האֵם תהיה רשאית לעשות שימוש בכסף עוד קודם לכן, עבור טיפולים לקטינה.</w:t>
      </w:r>
    </w:p>
    <w:p w:rsidR="001E3BFE" w:rsidRPr="001E3BFE" w:rsidRDefault="001E3BFE" w:rsidP="001E3BFE">
      <w:pPr>
        <w:rPr>
          <w:rtl/>
        </w:rPr>
      </w:pPr>
    </w:p>
    <w:p w:rsidR="001E3BFE" w:rsidRPr="001E3BFE" w:rsidRDefault="001E3BFE">
      <w:pPr>
        <w:spacing w:line="360" w:lineRule="auto"/>
        <w:rPr>
          <w:b/>
          <w:bCs/>
          <w:rtl/>
        </w:rPr>
      </w:pPr>
      <w:r w:rsidRPr="001E3BFE">
        <w:rPr>
          <w:rFonts w:hint="cs"/>
          <w:b/>
          <w:bCs/>
          <w:rtl/>
        </w:rPr>
        <w:t xml:space="preserve">ניתן והודע היום </w:t>
      </w:r>
      <w:sdt>
        <w:sdtPr>
          <w:rPr>
            <w:rtl/>
          </w:rPr>
          <w:alias w:val="2207"/>
          <w:tag w:val="2207"/>
          <w:id w:val="-1602030440"/>
        </w:sdtPr>
        <w:sdtEndPr/>
        <w:sdtContent>
          <w:r w:rsidRPr="001E3BFE">
            <w:rPr>
              <w:b/>
              <w:bCs/>
              <w:rtl/>
            </w:rPr>
            <w:t>י"ד כסלו תשפ"ד</w:t>
          </w:r>
        </w:sdtContent>
      </w:sdt>
      <w:r w:rsidRPr="001E3BFE">
        <w:rPr>
          <w:rFonts w:hint="cs"/>
          <w:b/>
          <w:bCs/>
          <w:rtl/>
        </w:rPr>
        <w:t xml:space="preserve">, </w:t>
      </w:r>
      <w:sdt>
        <w:sdtPr>
          <w:rPr>
            <w:rtl/>
          </w:rPr>
          <w:alias w:val="2206"/>
          <w:tag w:val="2206"/>
          <w:id w:val="-881791114"/>
        </w:sdtPr>
        <w:sdtEndPr/>
        <w:sdtContent>
          <w:r w:rsidRPr="001E3BFE">
            <w:rPr>
              <w:b/>
              <w:bCs/>
            </w:rPr>
            <w:t>27/11/2023</w:t>
          </w:r>
        </w:sdtContent>
      </w:sdt>
      <w:r w:rsidRPr="001E3BFE">
        <w:rPr>
          <w:rFonts w:hint="cs"/>
          <w:b/>
          <w:bCs/>
          <w:rtl/>
        </w:rPr>
        <w:t xml:space="preserve"> במעמד הנוכחים. </w:t>
      </w:r>
    </w:p>
    <w:p w:rsidR="001E3BFE" w:rsidRPr="001E3BFE" w:rsidRDefault="001E3BFE">
      <w:pPr>
        <w:spacing w:line="360" w:lineRule="auto"/>
        <w:rPr>
          <w:rtl/>
        </w:rPr>
      </w:pPr>
    </w:p>
    <w:tbl>
      <w:tblPr>
        <w:tblStyle w:val="a7"/>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1E3BFE" w:rsidRPr="001E3BFE" w:rsidTr="007E7273">
        <w:tc>
          <w:tcPr>
            <w:tcW w:w="2891" w:type="dxa"/>
            <w:vAlign w:val="center"/>
          </w:tcPr>
          <w:sdt>
            <w:sdtPr>
              <w:rPr>
                <w:rtl/>
              </w:rPr>
              <w:alias w:val="MergeField"/>
              <w:tag w:val="2250"/>
              <w:id w:val="1587261738"/>
            </w:sdtPr>
            <w:sdtEndPr/>
            <w:sdtContent>
              <w:p w:rsidR="001E3BFE" w:rsidRPr="001E3BFE" w:rsidRDefault="001E3BFE">
                <w:r w:rsidRPr="001E3BFE">
                  <w:rPr>
                    <w:noProof/>
                  </w:rPr>
                  <w:drawing>
                    <wp:inline distT="0" distB="0" distL="0" distR="0" wp14:editId="50D07946">
                      <wp:extent cx="16954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5"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386112116"/>
            </w:sdtPr>
            <w:sdtEndPr/>
            <w:sdtContent>
              <w:p w:rsidR="001E3BFE" w:rsidRPr="001E3BFE" w:rsidRDefault="001E3BFE">
                <w:r w:rsidRPr="001E3BFE">
                  <w:rPr>
                    <w:noProof/>
                  </w:rPr>
                  <w:drawing>
                    <wp:inline distT="0" distB="0" distL="0" distR="0" wp14:editId="50D07946">
                      <wp:extent cx="1371600" cy="10668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6"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36502589"/>
            </w:sdtPr>
            <w:sdtEndPr/>
            <w:sdtContent>
              <w:p w:rsidR="001E3BFE" w:rsidRPr="001E3BFE" w:rsidRDefault="001E3BFE">
                <w:r w:rsidRPr="001E3BFE">
                  <w:rPr>
                    <w:noProof/>
                  </w:rPr>
                  <w:drawing>
                    <wp:inline distT="0" distB="0" distL="0" distR="0" wp14:editId="50D07946">
                      <wp:extent cx="1524000" cy="5143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7" cstate="print">
                                <a:extLst/>
                              </a:blip>
                              <a:stretch>
                                <a:fillRect/>
                              </a:stretch>
                            </pic:blipFill>
                            <pic:spPr>
                              <a:xfrm>
                                <a:off x="0" y="0"/>
                                <a:ext cx="1524000" cy="514350"/>
                              </a:xfrm>
                              <a:prstGeom prst="rect">
                                <a:avLst/>
                              </a:prstGeom>
                            </pic:spPr>
                          </pic:pic>
                        </a:graphicData>
                      </a:graphic>
                    </wp:inline>
                  </w:drawing>
                </w:r>
              </w:p>
            </w:sdtContent>
          </w:sdt>
        </w:tc>
      </w:tr>
      <w:tr w:rsidR="001E3BFE" w:rsidRPr="001E3BFE" w:rsidTr="007E7273">
        <w:tc>
          <w:tcPr>
            <w:tcW w:w="2891" w:type="dxa"/>
            <w:vAlign w:val="center"/>
          </w:tcPr>
          <w:p w:rsidR="001E3BFE" w:rsidRPr="001E3BFE" w:rsidRDefault="006C7789" w:rsidP="007E7273">
            <w:pPr>
              <w:spacing w:line="360" w:lineRule="auto"/>
              <w:jc w:val="center"/>
              <w:rPr>
                <w:rFonts w:ascii="David" w:hAnsi="David" w:cs="David"/>
                <w:rtl/>
              </w:rPr>
            </w:pPr>
            <w:sdt>
              <w:sdtPr>
                <w:rPr>
                  <w:rtl/>
                </w:rPr>
                <w:alias w:val="2235"/>
                <w:tag w:val="2235"/>
                <w:id w:val="1100069598"/>
              </w:sdtPr>
              <w:sdtEndPr/>
              <w:sdtContent>
                <w:r w:rsidR="001E3BFE" w:rsidRPr="001E3BFE">
                  <w:rPr>
                    <w:rFonts w:ascii="David" w:hAnsi="David" w:cs="David"/>
                    <w:rtl/>
                  </w:rPr>
                  <w:t>רות</w:t>
                </w:r>
              </w:sdtContent>
            </w:sdt>
            <w:r w:rsidR="001E3BFE" w:rsidRPr="001E3BFE">
              <w:rPr>
                <w:rFonts w:ascii="David" w:hAnsi="David" w:cs="David"/>
                <w:rtl/>
              </w:rPr>
              <w:t xml:space="preserve">  </w:t>
            </w:r>
            <w:sdt>
              <w:sdtPr>
                <w:rPr>
                  <w:rtl/>
                </w:rPr>
                <w:alias w:val="2240"/>
                <w:tag w:val="2240"/>
                <w:id w:val="825638415"/>
              </w:sdtPr>
              <w:sdtEndPr/>
              <w:sdtContent>
                <w:proofErr w:type="spellStart"/>
                <w:r w:rsidR="001E3BFE" w:rsidRPr="001E3BFE">
                  <w:rPr>
                    <w:rFonts w:ascii="David" w:hAnsi="David" w:cs="David"/>
                    <w:rtl/>
                  </w:rPr>
                  <w:t>לורך</w:t>
                </w:r>
                <w:proofErr w:type="spellEnd"/>
              </w:sdtContent>
            </w:sdt>
            <w:r w:rsidR="001E3BFE" w:rsidRPr="001E3BFE">
              <w:rPr>
                <w:rFonts w:ascii="David" w:hAnsi="David" w:cs="David"/>
                <w:rtl/>
              </w:rPr>
              <w:t xml:space="preserve">, </w:t>
            </w:r>
            <w:sdt>
              <w:sdtPr>
                <w:rPr>
                  <w:rtl/>
                </w:rPr>
                <w:alias w:val="2245"/>
                <w:tag w:val="2245"/>
                <w:id w:val="533847746"/>
              </w:sdtPr>
              <w:sdtEndPr/>
              <w:sdtContent>
                <w:r w:rsidR="001E3BFE" w:rsidRPr="001E3BFE">
                  <w:rPr>
                    <w:rFonts w:ascii="David" w:hAnsi="David" w:cs="David"/>
                    <w:rtl/>
                  </w:rPr>
                  <w:t>שופטת - נשיאה</w:t>
                </w:r>
              </w:sdtContent>
            </w:sdt>
          </w:p>
        </w:tc>
        <w:tc>
          <w:tcPr>
            <w:tcW w:w="2891" w:type="dxa"/>
            <w:vAlign w:val="center"/>
          </w:tcPr>
          <w:p w:rsidR="001E3BFE" w:rsidRPr="001E3BFE" w:rsidRDefault="006C7789" w:rsidP="007E7273">
            <w:pPr>
              <w:spacing w:line="360" w:lineRule="auto"/>
              <w:jc w:val="center"/>
              <w:rPr>
                <w:rFonts w:ascii="David" w:hAnsi="David" w:cs="David"/>
                <w:rtl/>
              </w:rPr>
            </w:pPr>
            <w:sdt>
              <w:sdtPr>
                <w:rPr>
                  <w:rtl/>
                </w:rPr>
                <w:alias w:val="2236"/>
                <w:tag w:val="2236"/>
                <w:id w:val="639300144"/>
              </w:sdtPr>
              <w:sdtEndPr/>
              <w:sdtContent>
                <w:r w:rsidR="001E3BFE" w:rsidRPr="001E3BFE">
                  <w:rPr>
                    <w:rFonts w:ascii="David" w:hAnsi="David" w:cs="David"/>
                    <w:rtl/>
                  </w:rPr>
                  <w:t>דבורה</w:t>
                </w:r>
              </w:sdtContent>
            </w:sdt>
            <w:r w:rsidR="001E3BFE" w:rsidRPr="001E3BFE">
              <w:rPr>
                <w:rFonts w:ascii="David" w:hAnsi="David" w:cs="David"/>
                <w:rtl/>
              </w:rPr>
              <w:t xml:space="preserve"> </w:t>
            </w:r>
            <w:sdt>
              <w:sdtPr>
                <w:rPr>
                  <w:rtl/>
                </w:rPr>
                <w:alias w:val="2241"/>
                <w:tag w:val="2241"/>
                <w:id w:val="-2097088705"/>
              </w:sdtPr>
              <w:sdtEndPr/>
              <w:sdtContent>
                <w:r w:rsidR="001E3BFE" w:rsidRPr="001E3BFE">
                  <w:rPr>
                    <w:rFonts w:ascii="David" w:hAnsi="David" w:cs="David"/>
                    <w:rtl/>
                  </w:rPr>
                  <w:t>עטר</w:t>
                </w:r>
              </w:sdtContent>
            </w:sdt>
            <w:r w:rsidR="001E3BFE" w:rsidRPr="001E3BFE">
              <w:rPr>
                <w:rFonts w:ascii="David" w:hAnsi="David" w:cs="David"/>
                <w:rtl/>
              </w:rPr>
              <w:t xml:space="preserve">, </w:t>
            </w:r>
            <w:sdt>
              <w:sdtPr>
                <w:rPr>
                  <w:rtl/>
                </w:rPr>
                <w:alias w:val="2246"/>
                <w:tag w:val="2246"/>
                <w:id w:val="-1989393221"/>
              </w:sdtPr>
              <w:sdtEndPr/>
              <w:sdtContent>
                <w:r w:rsidR="001E3BFE" w:rsidRPr="001E3BFE">
                  <w:rPr>
                    <w:rFonts w:ascii="David" w:hAnsi="David" w:cs="David"/>
                    <w:rtl/>
                  </w:rPr>
                  <w:t>שופטת</w:t>
                </w:r>
              </w:sdtContent>
            </w:sdt>
          </w:p>
        </w:tc>
        <w:tc>
          <w:tcPr>
            <w:tcW w:w="2891" w:type="dxa"/>
            <w:vAlign w:val="center"/>
          </w:tcPr>
          <w:p w:rsidR="001E3BFE" w:rsidRPr="001E3BFE" w:rsidRDefault="006C7789" w:rsidP="007E7273">
            <w:pPr>
              <w:spacing w:line="360" w:lineRule="auto"/>
              <w:jc w:val="center"/>
              <w:rPr>
                <w:rFonts w:ascii="David" w:hAnsi="David" w:cs="David"/>
                <w:rtl/>
              </w:rPr>
            </w:pPr>
            <w:sdt>
              <w:sdtPr>
                <w:rPr>
                  <w:rtl/>
                </w:rPr>
                <w:alias w:val="2237"/>
                <w:tag w:val="2237"/>
                <w:id w:val="-31890643"/>
              </w:sdtPr>
              <w:sdtEndPr/>
              <w:sdtContent>
                <w:r w:rsidR="001E3BFE" w:rsidRPr="001E3BFE">
                  <w:rPr>
                    <w:rFonts w:ascii="David" w:hAnsi="David" w:cs="David"/>
                    <w:rtl/>
                  </w:rPr>
                  <w:t>עמי</w:t>
                </w:r>
              </w:sdtContent>
            </w:sdt>
            <w:r w:rsidR="001E3BFE" w:rsidRPr="001E3BFE">
              <w:rPr>
                <w:rFonts w:ascii="David" w:hAnsi="David" w:cs="David"/>
                <w:rtl/>
              </w:rPr>
              <w:t xml:space="preserve"> </w:t>
            </w:r>
            <w:sdt>
              <w:sdtPr>
                <w:rPr>
                  <w:rtl/>
                </w:rPr>
                <w:alias w:val="2242"/>
                <w:tag w:val="2242"/>
                <w:id w:val="358854881"/>
              </w:sdtPr>
              <w:sdtEndPr/>
              <w:sdtContent>
                <w:r w:rsidR="001E3BFE" w:rsidRPr="001E3BFE">
                  <w:rPr>
                    <w:rFonts w:ascii="David" w:hAnsi="David" w:cs="David"/>
                    <w:rtl/>
                  </w:rPr>
                  <w:t>קובו</w:t>
                </w:r>
              </w:sdtContent>
            </w:sdt>
            <w:r w:rsidR="001E3BFE" w:rsidRPr="001E3BFE">
              <w:rPr>
                <w:rFonts w:ascii="David" w:hAnsi="David" w:cs="David"/>
                <w:rtl/>
              </w:rPr>
              <w:t xml:space="preserve">, </w:t>
            </w:r>
            <w:sdt>
              <w:sdtPr>
                <w:rPr>
                  <w:rtl/>
                </w:rPr>
                <w:alias w:val="2247"/>
                <w:tag w:val="2247"/>
                <w:id w:val="243227774"/>
              </w:sdtPr>
              <w:sdtEndPr/>
              <w:sdtContent>
                <w:r w:rsidR="001E3BFE" w:rsidRPr="001E3BFE">
                  <w:rPr>
                    <w:rFonts w:ascii="David" w:hAnsi="David" w:cs="David"/>
                    <w:rtl/>
                  </w:rPr>
                  <w:t>שופט</w:t>
                </w:r>
              </w:sdtContent>
            </w:sdt>
          </w:p>
        </w:tc>
      </w:tr>
      <w:tr w:rsidR="001E3BFE" w:rsidRPr="001E3BFE" w:rsidTr="007E7273">
        <w:tc>
          <w:tcPr>
            <w:tcW w:w="2891" w:type="dxa"/>
            <w:vAlign w:val="center"/>
          </w:tcPr>
          <w:p w:rsidR="001E3BFE" w:rsidRPr="001E3BFE" w:rsidRDefault="001E3BFE" w:rsidP="007E7273">
            <w:pPr>
              <w:spacing w:line="360" w:lineRule="auto"/>
              <w:jc w:val="center"/>
              <w:rPr>
                <w:rFonts w:ascii="David" w:hAnsi="David" w:cs="David"/>
                <w:rtl/>
              </w:rPr>
            </w:pPr>
          </w:p>
          <w:p w:rsidR="001E3BFE" w:rsidRPr="001E3BFE" w:rsidRDefault="001E3BFE" w:rsidP="007E7273">
            <w:pPr>
              <w:spacing w:line="360" w:lineRule="auto"/>
              <w:jc w:val="center"/>
              <w:rPr>
                <w:rFonts w:ascii="David" w:hAnsi="David" w:cs="David"/>
                <w:rtl/>
              </w:rPr>
            </w:pPr>
          </w:p>
        </w:tc>
        <w:tc>
          <w:tcPr>
            <w:tcW w:w="2891" w:type="dxa"/>
            <w:vAlign w:val="center"/>
          </w:tcPr>
          <w:p w:rsidR="001E3BFE" w:rsidRPr="001E3BFE" w:rsidRDefault="001E3BFE" w:rsidP="007E7273">
            <w:pPr>
              <w:jc w:val="center"/>
              <w:rPr>
                <w:rFonts w:ascii="David" w:hAnsi="David" w:cs="David"/>
                <w:rtl/>
              </w:rPr>
            </w:pPr>
          </w:p>
          <w:p w:rsidR="001E3BFE" w:rsidRPr="001E3BFE" w:rsidRDefault="001E3BFE" w:rsidP="007E7273">
            <w:pPr>
              <w:spacing w:line="360" w:lineRule="auto"/>
              <w:jc w:val="center"/>
              <w:rPr>
                <w:rFonts w:ascii="David" w:hAnsi="David" w:cs="David"/>
                <w:rtl/>
              </w:rPr>
            </w:pPr>
          </w:p>
        </w:tc>
        <w:tc>
          <w:tcPr>
            <w:tcW w:w="2891" w:type="dxa"/>
            <w:vAlign w:val="center"/>
          </w:tcPr>
          <w:p w:rsidR="001E3BFE" w:rsidRPr="001E3BFE" w:rsidRDefault="001E3BFE" w:rsidP="007E7273">
            <w:pPr>
              <w:spacing w:line="360" w:lineRule="auto"/>
              <w:jc w:val="center"/>
              <w:rPr>
                <w:rFonts w:ascii="David" w:hAnsi="David" w:cs="David"/>
                <w:rtl/>
              </w:rPr>
            </w:pPr>
          </w:p>
          <w:p w:rsidR="001E3BFE" w:rsidRPr="001E3BFE" w:rsidRDefault="001E3BFE" w:rsidP="007E7273">
            <w:pPr>
              <w:spacing w:line="360" w:lineRule="auto"/>
              <w:jc w:val="center"/>
              <w:rPr>
                <w:rFonts w:ascii="David" w:hAnsi="David" w:cs="David"/>
                <w:rtl/>
              </w:rPr>
            </w:pPr>
          </w:p>
        </w:tc>
      </w:tr>
    </w:tbl>
    <w:p w:rsidR="00E939C5" w:rsidRDefault="00E939C5" w:rsidP="00E939C5">
      <w:pPr>
        <w:spacing w:line="360" w:lineRule="auto"/>
        <w:jc w:val="both"/>
        <w:rPr>
          <w:rtl/>
        </w:rPr>
      </w:pPr>
    </w:p>
    <w:p w:rsidR="00FE4782" w:rsidRDefault="00E939C5" w:rsidP="00E939C5">
      <w:pPr>
        <w:spacing w:line="360" w:lineRule="auto"/>
        <w:jc w:val="both"/>
        <w:rPr>
          <w:rtl/>
        </w:rPr>
      </w:pPr>
      <w:r>
        <w:rPr>
          <w:rFonts w:hint="cs"/>
          <w:rtl/>
        </w:rPr>
        <w:t xml:space="preserve">זכות ערעור לביהמ"ש העליון תוך 45 יום. </w:t>
      </w:r>
    </w:p>
    <w:p w:rsidR="00E939C5" w:rsidRDefault="00E939C5" w:rsidP="00E939C5">
      <w:pPr>
        <w:spacing w:line="360" w:lineRule="auto"/>
        <w:jc w:val="both"/>
        <w:rPr>
          <w:rtl/>
        </w:rPr>
      </w:pPr>
    </w:p>
    <w:p w:rsidR="00E939C5" w:rsidRDefault="00E939C5" w:rsidP="00E939C5">
      <w:pPr>
        <w:spacing w:line="360" w:lineRule="auto"/>
        <w:jc w:val="both"/>
        <w:rPr>
          <w:sz w:val="6"/>
          <w:szCs w:val="6"/>
          <w:rtl/>
        </w:rPr>
      </w:pPr>
      <w:r>
        <w:rPr>
          <w:sz w:val="6"/>
          <w:szCs w:val="6"/>
          <w:rtl/>
        </w:rPr>
        <w:t>&lt;#7#&gt;</w:t>
      </w:r>
    </w:p>
    <w:p w:rsidR="00E939C5" w:rsidRPr="004C6756" w:rsidRDefault="00E939C5">
      <w:pPr>
        <w:spacing w:line="360" w:lineRule="auto"/>
        <w:rPr>
          <w:b/>
          <w:bCs/>
          <w:rtl/>
        </w:rPr>
      </w:pPr>
      <w:r w:rsidRPr="004C6756">
        <w:rPr>
          <w:rFonts w:hint="cs"/>
          <w:b/>
          <w:bCs/>
          <w:rtl/>
        </w:rPr>
        <w:t xml:space="preserve">ניתן והודע היום </w:t>
      </w:r>
      <w:sdt>
        <w:sdtPr>
          <w:rPr>
            <w:rtl/>
          </w:rPr>
          <w:alias w:val="2207"/>
          <w:tag w:val="2207"/>
          <w:id w:val="-823122369"/>
        </w:sdtPr>
        <w:sdtEndPr/>
        <w:sdtContent>
          <w:r>
            <w:rPr>
              <w:b/>
              <w:bCs/>
              <w:rtl/>
            </w:rPr>
            <w:t>י"ד כסלו תשפ"ד</w:t>
          </w:r>
        </w:sdtContent>
      </w:sdt>
      <w:r w:rsidRPr="004C6756">
        <w:rPr>
          <w:rFonts w:hint="cs"/>
          <w:b/>
          <w:bCs/>
          <w:rtl/>
        </w:rPr>
        <w:t xml:space="preserve">, </w:t>
      </w:r>
      <w:sdt>
        <w:sdtPr>
          <w:rPr>
            <w:rtl/>
          </w:rPr>
          <w:alias w:val="2206"/>
          <w:tag w:val="2206"/>
          <w:id w:val="-2003894495"/>
        </w:sdtPr>
        <w:sdtEndPr/>
        <w:sdtContent>
          <w:r>
            <w:rPr>
              <w:b/>
              <w:bCs/>
            </w:rPr>
            <w:t>27/11/2023</w:t>
          </w:r>
        </w:sdtContent>
      </w:sdt>
      <w:r w:rsidRPr="004C6756">
        <w:rPr>
          <w:rFonts w:hint="cs"/>
          <w:b/>
          <w:bCs/>
          <w:rtl/>
        </w:rPr>
        <w:t xml:space="preserve"> במעמד הנוכחים. </w:t>
      </w:r>
    </w:p>
    <w:p w:rsidR="00E939C5" w:rsidRPr="004C6756" w:rsidRDefault="00E939C5">
      <w:pPr>
        <w:spacing w:line="360" w:lineRule="auto"/>
        <w:rPr>
          <w:rtl/>
        </w:rPr>
      </w:pPr>
    </w:p>
    <w:tbl>
      <w:tblPr>
        <w:tblStyle w:val="a7"/>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939C5" w:rsidRPr="004C6756" w:rsidTr="007E7273">
        <w:tc>
          <w:tcPr>
            <w:tcW w:w="2891" w:type="dxa"/>
            <w:vAlign w:val="center"/>
          </w:tcPr>
          <w:sdt>
            <w:sdtPr>
              <w:rPr>
                <w:rtl/>
              </w:rPr>
              <w:alias w:val="MergeField"/>
              <w:tag w:val="2250"/>
              <w:id w:val="-522094387"/>
            </w:sdtPr>
            <w:sdtEndPr/>
            <w:sdtContent>
              <w:p w:rsidR="00E939C5" w:rsidRDefault="00E939C5">
                <w:r>
                  <w:rPr>
                    <w:noProof/>
                  </w:rPr>
                  <w:drawing>
                    <wp:inline distT="0" distB="0" distL="0" distR="0" wp14:editId="50D07946">
                      <wp:extent cx="1695450" cy="8572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0.jpg"/>
                              <pic:cNvPicPr/>
                            </pic:nvPicPr>
                            <pic:blipFill>
                              <a:blip r:embed="rId15" cstate="print">
                                <a:extLst/>
                              </a:blip>
                              <a:stretch>
                                <a:fillRect/>
                              </a:stretch>
                            </pic:blipFill>
                            <pic:spPr>
                              <a:xfrm>
                                <a:off x="0" y="0"/>
                                <a:ext cx="1695450" cy="857250"/>
                              </a:xfrm>
                              <a:prstGeom prst="rect">
                                <a:avLst/>
                              </a:prstGeom>
                            </pic:spPr>
                          </pic:pic>
                        </a:graphicData>
                      </a:graphic>
                    </wp:inline>
                  </w:drawing>
                </w:r>
              </w:p>
            </w:sdtContent>
          </w:sdt>
        </w:tc>
        <w:tc>
          <w:tcPr>
            <w:tcW w:w="2891" w:type="dxa"/>
            <w:vAlign w:val="center"/>
          </w:tcPr>
          <w:sdt>
            <w:sdtPr>
              <w:rPr>
                <w:rtl/>
              </w:rPr>
              <w:alias w:val="MergeField"/>
              <w:tag w:val="2251"/>
              <w:id w:val="-1313328077"/>
            </w:sdtPr>
            <w:sdtEndPr/>
            <w:sdtContent>
              <w:p w:rsidR="00E939C5" w:rsidRDefault="00E939C5">
                <w:r>
                  <w:rPr>
                    <w:noProof/>
                  </w:rPr>
                  <w:drawing>
                    <wp:inline distT="0" distB="0" distL="0" distR="0" wp14:editId="50D07946">
                      <wp:extent cx="1371600" cy="10668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1.jpg"/>
                              <pic:cNvPicPr/>
                            </pic:nvPicPr>
                            <pic:blipFill>
                              <a:blip r:embed="rId16" cstate="print">
                                <a:extLst/>
                              </a:blip>
                              <a:stretch>
                                <a:fillRect/>
                              </a:stretch>
                            </pic:blipFill>
                            <pic:spPr>
                              <a:xfrm>
                                <a:off x="0" y="0"/>
                                <a:ext cx="1371600" cy="1066800"/>
                              </a:xfrm>
                              <a:prstGeom prst="rect">
                                <a:avLst/>
                              </a:prstGeom>
                            </pic:spPr>
                          </pic:pic>
                        </a:graphicData>
                      </a:graphic>
                    </wp:inline>
                  </w:drawing>
                </w:r>
              </w:p>
            </w:sdtContent>
          </w:sdt>
        </w:tc>
        <w:tc>
          <w:tcPr>
            <w:tcW w:w="2891" w:type="dxa"/>
            <w:vAlign w:val="center"/>
          </w:tcPr>
          <w:sdt>
            <w:sdtPr>
              <w:rPr>
                <w:rtl/>
              </w:rPr>
              <w:alias w:val="MergeField"/>
              <w:tag w:val="2252"/>
              <w:id w:val="-938220113"/>
            </w:sdtPr>
            <w:sdtEndPr/>
            <w:sdtContent>
              <w:p w:rsidR="00E939C5" w:rsidRDefault="00E939C5">
                <w:r>
                  <w:rPr>
                    <w:noProof/>
                  </w:rPr>
                  <w:drawing>
                    <wp:inline distT="0" distB="0" distL="0" distR="0" wp14:editId="50D07946">
                      <wp:extent cx="1524000" cy="5143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52.jpg"/>
                              <pic:cNvPicPr/>
                            </pic:nvPicPr>
                            <pic:blipFill>
                              <a:blip r:embed="rId17" cstate="print">
                                <a:extLst/>
                              </a:blip>
                              <a:stretch>
                                <a:fillRect/>
                              </a:stretch>
                            </pic:blipFill>
                            <pic:spPr>
                              <a:xfrm>
                                <a:off x="0" y="0"/>
                                <a:ext cx="1524000" cy="514350"/>
                              </a:xfrm>
                              <a:prstGeom prst="rect">
                                <a:avLst/>
                              </a:prstGeom>
                            </pic:spPr>
                          </pic:pic>
                        </a:graphicData>
                      </a:graphic>
                    </wp:inline>
                  </w:drawing>
                </w:r>
              </w:p>
            </w:sdtContent>
          </w:sdt>
        </w:tc>
      </w:tr>
      <w:tr w:rsidR="00E939C5" w:rsidRPr="004C6756" w:rsidTr="007E7273">
        <w:tc>
          <w:tcPr>
            <w:tcW w:w="2891" w:type="dxa"/>
            <w:vAlign w:val="center"/>
          </w:tcPr>
          <w:p w:rsidR="00E939C5" w:rsidRPr="004C6756" w:rsidRDefault="006C7789" w:rsidP="007E7273">
            <w:pPr>
              <w:spacing w:line="360" w:lineRule="auto"/>
              <w:jc w:val="center"/>
              <w:rPr>
                <w:rFonts w:ascii="David" w:hAnsi="David" w:cs="David"/>
                <w:rtl/>
              </w:rPr>
            </w:pPr>
            <w:sdt>
              <w:sdtPr>
                <w:rPr>
                  <w:rtl/>
                </w:rPr>
                <w:alias w:val="2235"/>
                <w:tag w:val="2235"/>
                <w:id w:val="-198783510"/>
              </w:sdtPr>
              <w:sdtEndPr/>
              <w:sdtContent>
                <w:r w:rsidR="00E939C5">
                  <w:rPr>
                    <w:rFonts w:ascii="David" w:hAnsi="David" w:cs="David"/>
                    <w:rtl/>
                  </w:rPr>
                  <w:t>רות</w:t>
                </w:r>
              </w:sdtContent>
            </w:sdt>
            <w:r w:rsidR="00E939C5" w:rsidRPr="004C6756">
              <w:rPr>
                <w:rFonts w:ascii="David" w:hAnsi="David" w:cs="David"/>
                <w:rtl/>
              </w:rPr>
              <w:t xml:space="preserve">  </w:t>
            </w:r>
            <w:sdt>
              <w:sdtPr>
                <w:rPr>
                  <w:rtl/>
                </w:rPr>
                <w:alias w:val="2240"/>
                <w:tag w:val="2240"/>
                <w:id w:val="-222605451"/>
              </w:sdtPr>
              <w:sdtEndPr/>
              <w:sdtContent>
                <w:proofErr w:type="spellStart"/>
                <w:r w:rsidR="00E939C5">
                  <w:rPr>
                    <w:rFonts w:ascii="David" w:hAnsi="David" w:cs="David"/>
                    <w:rtl/>
                  </w:rPr>
                  <w:t>לורך</w:t>
                </w:r>
                <w:proofErr w:type="spellEnd"/>
              </w:sdtContent>
            </w:sdt>
            <w:r w:rsidR="00E939C5" w:rsidRPr="004C6756">
              <w:rPr>
                <w:rFonts w:ascii="David" w:hAnsi="David" w:cs="David"/>
                <w:rtl/>
              </w:rPr>
              <w:t xml:space="preserve">, </w:t>
            </w:r>
            <w:sdt>
              <w:sdtPr>
                <w:rPr>
                  <w:rtl/>
                </w:rPr>
                <w:alias w:val="2245"/>
                <w:tag w:val="2245"/>
                <w:id w:val="-1623922371"/>
              </w:sdtPr>
              <w:sdtEndPr/>
              <w:sdtContent>
                <w:r w:rsidR="00E939C5">
                  <w:rPr>
                    <w:rFonts w:ascii="David" w:hAnsi="David" w:cs="David"/>
                    <w:rtl/>
                  </w:rPr>
                  <w:t>שופטת - נשיאה</w:t>
                </w:r>
              </w:sdtContent>
            </w:sdt>
          </w:p>
        </w:tc>
        <w:tc>
          <w:tcPr>
            <w:tcW w:w="2891" w:type="dxa"/>
            <w:vAlign w:val="center"/>
          </w:tcPr>
          <w:p w:rsidR="00E939C5" w:rsidRPr="004C6756" w:rsidRDefault="006C7789" w:rsidP="007E7273">
            <w:pPr>
              <w:spacing w:line="360" w:lineRule="auto"/>
              <w:jc w:val="center"/>
              <w:rPr>
                <w:rFonts w:ascii="David" w:hAnsi="David" w:cs="David"/>
                <w:rtl/>
              </w:rPr>
            </w:pPr>
            <w:sdt>
              <w:sdtPr>
                <w:rPr>
                  <w:rtl/>
                </w:rPr>
                <w:alias w:val="2236"/>
                <w:tag w:val="2236"/>
                <w:id w:val="635455178"/>
              </w:sdtPr>
              <w:sdtEndPr/>
              <w:sdtContent>
                <w:r w:rsidR="00E939C5">
                  <w:rPr>
                    <w:rFonts w:ascii="David" w:hAnsi="David" w:cs="David"/>
                    <w:rtl/>
                  </w:rPr>
                  <w:t>דבורה</w:t>
                </w:r>
              </w:sdtContent>
            </w:sdt>
            <w:r w:rsidR="00E939C5" w:rsidRPr="004C6756">
              <w:rPr>
                <w:rFonts w:ascii="David" w:hAnsi="David" w:cs="David"/>
                <w:rtl/>
              </w:rPr>
              <w:t xml:space="preserve"> </w:t>
            </w:r>
            <w:sdt>
              <w:sdtPr>
                <w:rPr>
                  <w:rtl/>
                </w:rPr>
                <w:alias w:val="2241"/>
                <w:tag w:val="2241"/>
                <w:id w:val="20441222"/>
              </w:sdtPr>
              <w:sdtEndPr/>
              <w:sdtContent>
                <w:r w:rsidR="00E939C5">
                  <w:rPr>
                    <w:rFonts w:ascii="David" w:hAnsi="David" w:cs="David"/>
                    <w:rtl/>
                  </w:rPr>
                  <w:t>עטר</w:t>
                </w:r>
              </w:sdtContent>
            </w:sdt>
            <w:r w:rsidR="00E939C5" w:rsidRPr="004C6756">
              <w:rPr>
                <w:rFonts w:ascii="David" w:hAnsi="David" w:cs="David"/>
                <w:rtl/>
              </w:rPr>
              <w:t xml:space="preserve">, </w:t>
            </w:r>
            <w:sdt>
              <w:sdtPr>
                <w:rPr>
                  <w:rtl/>
                </w:rPr>
                <w:alias w:val="2246"/>
                <w:tag w:val="2246"/>
                <w:id w:val="-867378747"/>
              </w:sdtPr>
              <w:sdtEndPr/>
              <w:sdtContent>
                <w:r w:rsidR="00E939C5">
                  <w:rPr>
                    <w:rFonts w:ascii="David" w:hAnsi="David" w:cs="David"/>
                    <w:rtl/>
                  </w:rPr>
                  <w:t>שופטת</w:t>
                </w:r>
              </w:sdtContent>
            </w:sdt>
          </w:p>
        </w:tc>
        <w:tc>
          <w:tcPr>
            <w:tcW w:w="2891" w:type="dxa"/>
            <w:vAlign w:val="center"/>
          </w:tcPr>
          <w:p w:rsidR="00E939C5" w:rsidRPr="004C6756" w:rsidRDefault="006C7789" w:rsidP="007E7273">
            <w:pPr>
              <w:spacing w:line="360" w:lineRule="auto"/>
              <w:jc w:val="center"/>
              <w:rPr>
                <w:rFonts w:ascii="David" w:hAnsi="David" w:cs="David"/>
                <w:rtl/>
              </w:rPr>
            </w:pPr>
            <w:sdt>
              <w:sdtPr>
                <w:rPr>
                  <w:rtl/>
                </w:rPr>
                <w:alias w:val="2237"/>
                <w:tag w:val="2237"/>
                <w:id w:val="-974293004"/>
              </w:sdtPr>
              <w:sdtEndPr/>
              <w:sdtContent>
                <w:r w:rsidR="00E939C5">
                  <w:rPr>
                    <w:rFonts w:ascii="David" w:hAnsi="David" w:cs="David"/>
                    <w:rtl/>
                  </w:rPr>
                  <w:t>עמי</w:t>
                </w:r>
              </w:sdtContent>
            </w:sdt>
            <w:r w:rsidR="00E939C5" w:rsidRPr="004C6756">
              <w:rPr>
                <w:rFonts w:ascii="David" w:hAnsi="David" w:cs="David"/>
                <w:rtl/>
              </w:rPr>
              <w:t xml:space="preserve"> </w:t>
            </w:r>
            <w:sdt>
              <w:sdtPr>
                <w:rPr>
                  <w:rtl/>
                </w:rPr>
                <w:alias w:val="2242"/>
                <w:tag w:val="2242"/>
                <w:id w:val="829328527"/>
              </w:sdtPr>
              <w:sdtEndPr/>
              <w:sdtContent>
                <w:r w:rsidR="00E939C5">
                  <w:rPr>
                    <w:rFonts w:ascii="David" w:hAnsi="David" w:cs="David"/>
                    <w:rtl/>
                  </w:rPr>
                  <w:t>קובו</w:t>
                </w:r>
              </w:sdtContent>
            </w:sdt>
            <w:r w:rsidR="00E939C5" w:rsidRPr="004C6756">
              <w:rPr>
                <w:rFonts w:ascii="David" w:hAnsi="David" w:cs="David"/>
                <w:rtl/>
              </w:rPr>
              <w:t xml:space="preserve">, </w:t>
            </w:r>
            <w:sdt>
              <w:sdtPr>
                <w:rPr>
                  <w:rtl/>
                </w:rPr>
                <w:alias w:val="2247"/>
                <w:tag w:val="2247"/>
                <w:id w:val="-1556077537"/>
              </w:sdtPr>
              <w:sdtEndPr/>
              <w:sdtContent>
                <w:r w:rsidR="00E939C5">
                  <w:rPr>
                    <w:rFonts w:ascii="David" w:hAnsi="David" w:cs="David"/>
                    <w:rtl/>
                  </w:rPr>
                  <w:t>שופט</w:t>
                </w:r>
              </w:sdtContent>
            </w:sdt>
          </w:p>
        </w:tc>
      </w:tr>
      <w:tr w:rsidR="00E939C5" w:rsidRPr="004C6756" w:rsidTr="007E7273">
        <w:tc>
          <w:tcPr>
            <w:tcW w:w="2891" w:type="dxa"/>
            <w:vAlign w:val="center"/>
          </w:tcPr>
          <w:p w:rsidR="00E939C5" w:rsidRPr="004C6756" w:rsidRDefault="00E939C5" w:rsidP="007E7273">
            <w:pPr>
              <w:spacing w:line="360" w:lineRule="auto"/>
              <w:jc w:val="center"/>
              <w:rPr>
                <w:rFonts w:ascii="David" w:hAnsi="David" w:cs="David"/>
                <w:rtl/>
              </w:rPr>
            </w:pPr>
          </w:p>
          <w:p w:rsidR="00E939C5" w:rsidRPr="004C6756" w:rsidRDefault="00E939C5" w:rsidP="007E7273">
            <w:pPr>
              <w:spacing w:line="360" w:lineRule="auto"/>
              <w:jc w:val="center"/>
              <w:rPr>
                <w:rFonts w:ascii="David" w:hAnsi="David" w:cs="David"/>
                <w:rtl/>
              </w:rPr>
            </w:pPr>
          </w:p>
        </w:tc>
        <w:tc>
          <w:tcPr>
            <w:tcW w:w="2891" w:type="dxa"/>
            <w:vAlign w:val="center"/>
          </w:tcPr>
          <w:p w:rsidR="00E939C5" w:rsidRPr="004C6756" w:rsidRDefault="00E939C5" w:rsidP="007E7273">
            <w:pPr>
              <w:jc w:val="center"/>
              <w:rPr>
                <w:rFonts w:ascii="David" w:hAnsi="David" w:cs="David"/>
                <w:rtl/>
              </w:rPr>
            </w:pPr>
          </w:p>
          <w:p w:rsidR="00E939C5" w:rsidRPr="004C6756" w:rsidRDefault="00E939C5" w:rsidP="007E7273">
            <w:pPr>
              <w:spacing w:line="360" w:lineRule="auto"/>
              <w:jc w:val="center"/>
              <w:rPr>
                <w:rFonts w:ascii="David" w:hAnsi="David" w:cs="David"/>
                <w:rtl/>
              </w:rPr>
            </w:pPr>
          </w:p>
        </w:tc>
        <w:tc>
          <w:tcPr>
            <w:tcW w:w="2891" w:type="dxa"/>
            <w:vAlign w:val="center"/>
          </w:tcPr>
          <w:p w:rsidR="00E939C5" w:rsidRPr="004C6756" w:rsidRDefault="00E939C5" w:rsidP="007E7273">
            <w:pPr>
              <w:spacing w:line="360" w:lineRule="auto"/>
              <w:jc w:val="center"/>
              <w:rPr>
                <w:rFonts w:ascii="David" w:hAnsi="David" w:cs="David"/>
                <w:rtl/>
              </w:rPr>
            </w:pPr>
          </w:p>
          <w:p w:rsidR="00E939C5" w:rsidRPr="004C6756" w:rsidRDefault="00E939C5" w:rsidP="007E7273">
            <w:pPr>
              <w:spacing w:line="360" w:lineRule="auto"/>
              <w:jc w:val="center"/>
              <w:rPr>
                <w:rFonts w:ascii="David" w:hAnsi="David" w:cs="David"/>
                <w:rtl/>
              </w:rPr>
            </w:pPr>
          </w:p>
        </w:tc>
      </w:tr>
    </w:tbl>
    <w:p w:rsidR="00E939C5" w:rsidRDefault="00E939C5" w:rsidP="00E939C5">
      <w:pPr>
        <w:rPr>
          <w:rtl/>
        </w:rPr>
      </w:pPr>
    </w:p>
    <w:p w:rsidR="00E66F78" w:rsidRDefault="00D53DAC">
      <w:r>
        <w:rPr>
          <w:rtl/>
        </w:rPr>
        <w:t>הוקלד</w:t>
      </w:r>
      <w:r>
        <w:t xml:space="preserve"> </w:t>
      </w:r>
      <w:r>
        <w:rPr>
          <w:rtl/>
        </w:rPr>
        <w:t>על</w:t>
      </w:r>
      <w:r>
        <w:t xml:space="preserve"> </w:t>
      </w:r>
      <w:r>
        <w:rPr>
          <w:rtl/>
        </w:rPr>
        <w:t>ידי</w:t>
      </w:r>
      <w:r>
        <w:t xml:space="preserve"> </w:t>
      </w:r>
      <w:r>
        <w:rPr>
          <w:rtl/>
        </w:rPr>
        <w:t>ליאת</w:t>
      </w:r>
      <w:r>
        <w:t xml:space="preserve"> </w:t>
      </w:r>
      <w:proofErr w:type="spellStart"/>
      <w:r>
        <w:rPr>
          <w:rtl/>
        </w:rPr>
        <w:t>קחלון</w:t>
      </w:r>
      <w:proofErr w:type="spellEnd"/>
    </w:p>
    <w:sectPr w:rsidR="00E66F78" w:rsidSect="00320815">
      <w:headerReference w:type="even" r:id="rId18"/>
      <w:headerReference w:type="default" r:id="rId19"/>
      <w:footerReference w:type="even" r:id="rId20"/>
      <w:footerReference w:type="default" r:id="rId21"/>
      <w:headerReference w:type="first" r:id="rId22"/>
      <w:footerReference w:type="first" r:id="rId23"/>
      <w:pgSz w:w="11906" w:h="16838" w:code="9"/>
      <w:pgMar w:top="1440" w:right="1701" w:bottom="1440" w:left="1701" w:header="1077" w:footer="1157" w:gutter="0"/>
      <w:lnNumType w:countBy="1"/>
      <w:pgNumType w:start="16"/>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789" w:rsidRDefault="006C7789">
      <w:r>
        <w:separator/>
      </w:r>
    </w:p>
  </w:endnote>
  <w:endnote w:type="continuationSeparator" w:id="0">
    <w:p w:rsidR="006C7789" w:rsidRDefault="006C7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815" w:rsidRDefault="00320815" w:rsidP="003D4530">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Pr>
        <w:rStyle w:val="ab"/>
        <w:noProof/>
        <w:rtl/>
      </w:rPr>
      <w:t>16</w:t>
    </w:r>
    <w:r>
      <w:rPr>
        <w:rStyle w:val="ab"/>
        <w:rtl/>
      </w:rPr>
      <w:fldChar w:fldCharType="end"/>
    </w:r>
  </w:p>
  <w:p w:rsidR="00320815" w:rsidRDefault="0032081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0815" w:rsidRDefault="00320815" w:rsidP="003D4530">
    <w:pPr>
      <w:pStyle w:val="a6"/>
      <w:framePr w:wrap="around" w:vAnchor="text" w:hAnchor="text" w:xAlign="center" w:y="1"/>
      <w:rPr>
        <w:rStyle w:val="ab"/>
      </w:rPr>
    </w:pPr>
    <w:r>
      <w:rPr>
        <w:rStyle w:val="ab"/>
        <w:rtl/>
      </w:rPr>
      <w:fldChar w:fldCharType="begin"/>
    </w:r>
    <w:r>
      <w:rPr>
        <w:rStyle w:val="ab"/>
      </w:rPr>
      <w:instrText xml:space="preserve"> PAGE </w:instrText>
    </w:r>
    <w:r>
      <w:rPr>
        <w:rStyle w:val="ab"/>
        <w:rtl/>
      </w:rPr>
      <w:fldChar w:fldCharType="separate"/>
    </w:r>
    <w:r w:rsidR="008E562C">
      <w:rPr>
        <w:rStyle w:val="ab"/>
        <w:noProof/>
        <w:rtl/>
      </w:rPr>
      <w:t>16</w:t>
    </w:r>
    <w:r>
      <w:rPr>
        <w:rStyle w:val="ab"/>
        <w:rtl/>
      </w:rPr>
      <w:fldChar w:fldCharType="end"/>
    </w:r>
  </w:p>
  <w:p w:rsidR="00320815" w:rsidRDefault="00320815">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62C" w:rsidRDefault="008E562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789" w:rsidRDefault="006C7789">
      <w:r>
        <w:separator/>
      </w:r>
    </w:p>
  </w:footnote>
  <w:footnote w:type="continuationSeparator" w:id="0">
    <w:p w:rsidR="006C7789" w:rsidRDefault="006C7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62C" w:rsidRDefault="008E562C">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Fonts w:hint="cs"/>
        <w:rtl/>
      </w:rPr>
    </w:pPr>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18"/>
      <w:gridCol w:w="236"/>
      <w:gridCol w:w="2050"/>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מרכז-לוד</w:t>
              </w:r>
            </w:p>
          </w:tc>
        </w:sdtContent>
      </w:sdt>
    </w:tr>
    <w:tr w:rsidR="00EB1D9D" w:rsidTr="00A04531">
      <w:trPr>
        <w:trHeight w:val="337"/>
        <w:jc w:val="center"/>
      </w:trPr>
      <w:tc>
        <w:tcPr>
          <w:tcW w:w="6396" w:type="dxa"/>
        </w:tcPr>
        <w:p w:rsidR="00EB1D9D" w:rsidRDefault="006C7789" w:rsidP="00D53DAC">
          <w:pPr>
            <w:rPr>
              <w:b/>
              <w:bCs/>
              <w:sz w:val="26"/>
              <w:szCs w:val="26"/>
              <w:rtl/>
            </w:rPr>
          </w:pPr>
          <w:sdt>
            <w:sdtPr>
              <w:rPr>
                <w:rtl/>
              </w:rPr>
              <w:alias w:val="849"/>
              <w:tag w:val="849"/>
              <w:id w:val="-1617746001"/>
              <w:text w:multiLine="1"/>
            </w:sdtPr>
            <w:sdtEndPr/>
            <w:sdtContent>
              <w:r w:rsidR="0089339C">
                <w:rPr>
                  <w:b/>
                  <w:bCs/>
                  <w:sz w:val="26"/>
                  <w:szCs w:val="26"/>
                  <w:rtl/>
                </w:rPr>
                <w:t>תפ"ח</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1285-08-22</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D53DAC">
                <w:rPr>
                  <w:rFonts w:hint="cs"/>
                  <w:b/>
                  <w:bCs/>
                  <w:sz w:val="26"/>
                  <w:szCs w:val="26"/>
                  <w:rtl/>
                </w:rPr>
                <w:t>פלוני</w:t>
              </w:r>
            </w:sdtContent>
          </w:sdt>
        </w:p>
        <w:p w:rsidR="00DE753B" w:rsidRDefault="00DE753B">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27 נובמבר 2023</w:t>
              </w:r>
            </w:p>
          </w:tc>
        </w:sdtContent>
      </w:sdt>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62C" w:rsidRDefault="008E56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98D8FFB6"/>
    <w:lvl w:ilvl="0">
      <w:start w:val="1"/>
      <w:numFmt w:val="decimal"/>
      <w:pStyle w:val="a"/>
      <w:lvlText w:val="%1."/>
      <w:lvlJc w:val="left"/>
      <w:pPr>
        <w:tabs>
          <w:tab w:val="num" w:pos="360"/>
        </w:tabs>
        <w:ind w:left="360" w:hanging="360"/>
      </w:p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 w15:restartNumberingAfterBreak="0">
    <w:nsid w:val="1C5E6DF5"/>
    <w:multiLevelType w:val="hybridMultilevel"/>
    <w:tmpl w:val="692EA852"/>
    <w:lvl w:ilvl="0" w:tplc="800A5CAC">
      <w:start w:val="1"/>
      <w:numFmt w:val="decimal"/>
      <w:pStyle w:val="a0"/>
      <w:lvlText w:val="%1."/>
      <w:lvlJc w:val="left"/>
      <w:pPr>
        <w:tabs>
          <w:tab w:val="num" w:pos="720"/>
        </w:tabs>
        <w:ind w:left="720" w:hanging="720"/>
      </w:pPr>
      <w:rPr>
        <w:b w:val="0"/>
        <w:bCs w:val="0"/>
      </w:rPr>
    </w:lvl>
    <w:lvl w:ilvl="1" w:tplc="D79AAC6A">
      <w:start w:val="1"/>
      <w:numFmt w:val="hebrew1"/>
      <w:lvlText w:val="%2."/>
      <w:lvlJc w:val="left"/>
      <w:pPr>
        <w:tabs>
          <w:tab w:val="num" w:pos="1620"/>
        </w:tabs>
        <w:ind w:left="1620" w:hanging="360"/>
      </w:pPr>
      <w:rPr>
        <w:b w:val="0"/>
        <w:bCs w:val="0"/>
        <w:lang w:val="en-US"/>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6"/>
  </w:num>
  <w:num w:numId="6">
    <w:abstractNumId w:val="8"/>
  </w:num>
  <w:num w:numId="7">
    <w:abstractNumId w:val="18"/>
  </w:num>
  <w:num w:numId="8">
    <w:abstractNumId w:val="2"/>
  </w:num>
  <w:num w:numId="9">
    <w:abstractNumId w:val="12"/>
  </w:num>
  <w:num w:numId="10">
    <w:abstractNumId w:val="10"/>
  </w:num>
  <w:num w:numId="11">
    <w:abstractNumId w:val="5"/>
  </w:num>
  <w:num w:numId="12">
    <w:abstractNumId w:val="17"/>
  </w:num>
  <w:num w:numId="13">
    <w:abstractNumId w:val="11"/>
  </w:num>
  <w:num w:numId="14">
    <w:abstractNumId w:val="4"/>
  </w:num>
  <w:num w:numId="15">
    <w:abstractNumId w:val="15"/>
  </w:num>
  <w:num w:numId="16">
    <w:abstractNumId w:val="3"/>
  </w:num>
  <w:num w:numId="17">
    <w:abstractNumId w:val="9"/>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285-08-22"/>
    <w:docVar w:name="caseId" w:val="79485911"/>
    <w:docVar w:name="deriveClass" w:val="NGCS.Protocol.BL.Client.ProtocolBLClientCriminal"/>
    <w:docVar w:name="firstPageNumber" w:val="16"/>
    <w:docVar w:name="NGCS.isReservedAddressPlace" w:val="0"/>
    <w:docVar w:name="NGCS.isReservedVoucherPlace" w:val="0"/>
    <w:docVar w:name="privellegeId" w:val="2"/>
    <w:docVar w:name="protocolId" w:val="13969879"/>
    <w:docVar w:name="releaseSign" w:val="0"/>
    <w:docVar w:name="sittingDateTime" w:val="27/11/2023 10:30     "/>
    <w:docVar w:name="sittingId" w:val="96301302"/>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95C23"/>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93B33"/>
    <w:rsid w:val="001A63A4"/>
    <w:rsid w:val="001E3469"/>
    <w:rsid w:val="001E3BFE"/>
    <w:rsid w:val="001E6DFB"/>
    <w:rsid w:val="002063A6"/>
    <w:rsid w:val="00227A15"/>
    <w:rsid w:val="00237F64"/>
    <w:rsid w:val="00245547"/>
    <w:rsid w:val="002736EA"/>
    <w:rsid w:val="00296868"/>
    <w:rsid w:val="002A1C94"/>
    <w:rsid w:val="002D579F"/>
    <w:rsid w:val="002E24EE"/>
    <w:rsid w:val="002F455E"/>
    <w:rsid w:val="002F5A82"/>
    <w:rsid w:val="00301481"/>
    <w:rsid w:val="00320815"/>
    <w:rsid w:val="00327045"/>
    <w:rsid w:val="00340759"/>
    <w:rsid w:val="0034100C"/>
    <w:rsid w:val="00342D84"/>
    <w:rsid w:val="00347ACF"/>
    <w:rsid w:val="00361DE6"/>
    <w:rsid w:val="003777FA"/>
    <w:rsid w:val="003F6EFC"/>
    <w:rsid w:val="00440118"/>
    <w:rsid w:val="00442655"/>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830E7"/>
    <w:rsid w:val="006A4D3D"/>
    <w:rsid w:val="006B639D"/>
    <w:rsid w:val="006C2240"/>
    <w:rsid w:val="006C7789"/>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7896"/>
    <w:rsid w:val="008E562C"/>
    <w:rsid w:val="008E7204"/>
    <w:rsid w:val="00914611"/>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46EC"/>
    <w:rsid w:val="009E6E0A"/>
    <w:rsid w:val="00A04531"/>
    <w:rsid w:val="00A1573A"/>
    <w:rsid w:val="00A25356"/>
    <w:rsid w:val="00A64302"/>
    <w:rsid w:val="00A64696"/>
    <w:rsid w:val="00A67D1A"/>
    <w:rsid w:val="00A910BF"/>
    <w:rsid w:val="00A9385E"/>
    <w:rsid w:val="00AA3C0A"/>
    <w:rsid w:val="00AB1CE7"/>
    <w:rsid w:val="00AC7677"/>
    <w:rsid w:val="00AD1366"/>
    <w:rsid w:val="00B24CA7"/>
    <w:rsid w:val="00B30584"/>
    <w:rsid w:val="00B44123"/>
    <w:rsid w:val="00B46A2B"/>
    <w:rsid w:val="00B6568E"/>
    <w:rsid w:val="00B66459"/>
    <w:rsid w:val="00B82C03"/>
    <w:rsid w:val="00B870E1"/>
    <w:rsid w:val="00B96F12"/>
    <w:rsid w:val="00BA3141"/>
    <w:rsid w:val="00BD01C6"/>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3DAC"/>
    <w:rsid w:val="00D57D9B"/>
    <w:rsid w:val="00D86190"/>
    <w:rsid w:val="00DA7A07"/>
    <w:rsid w:val="00DC3CD8"/>
    <w:rsid w:val="00DC4526"/>
    <w:rsid w:val="00DC7E11"/>
    <w:rsid w:val="00DD4926"/>
    <w:rsid w:val="00DE753B"/>
    <w:rsid w:val="00DF69AA"/>
    <w:rsid w:val="00E15F20"/>
    <w:rsid w:val="00E37759"/>
    <w:rsid w:val="00E4581A"/>
    <w:rsid w:val="00E620AB"/>
    <w:rsid w:val="00E66F78"/>
    <w:rsid w:val="00E679BB"/>
    <w:rsid w:val="00E74FCF"/>
    <w:rsid w:val="00E866B5"/>
    <w:rsid w:val="00E939C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E4782"/>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
    <w:name w:val="heading 2"/>
    <w:basedOn w:val="a1"/>
    <w:next w:val="a1"/>
    <w:qFormat/>
    <w:rsid w:val="00A07E40"/>
    <w:pPr>
      <w:keepNext/>
      <w:spacing w:before="240" w:after="60"/>
      <w:outlineLvl w:val="1"/>
    </w:pPr>
    <w:rPr>
      <w:b/>
      <w:bCs/>
      <w:i/>
      <w:iCs/>
    </w:rPr>
  </w:style>
  <w:style w:type="paragraph" w:styleId="3">
    <w:name w:val="heading 3"/>
    <w:basedOn w:val="a1"/>
    <w:next w:val="a1"/>
    <w:qFormat/>
    <w:rsid w:val="00A07E40"/>
    <w:pPr>
      <w:keepNext/>
      <w:spacing w:before="240" w:after="60"/>
      <w:outlineLvl w:val="2"/>
    </w:pPr>
    <w:rPr>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semiHidden/>
    <w:rsid w:val="00A07E40"/>
    <w:rPr>
      <w:rFonts w:ascii="Times New Roman" w:eastAsia="Times New Roman" w:hAnsi="Times New Roman" w:cs="Times New Roman"/>
      <w:sz w:val="20"/>
      <w:szCs w:val="20"/>
    </w:rPr>
  </w:style>
  <w:style w:type="character" w:styleId="a9">
    <w:name w:val="annotation reference"/>
    <w:basedOn w:val="a2"/>
    <w:semiHidden/>
    <w:rsid w:val="00A07E40"/>
    <w:rPr>
      <w:sz w:val="16"/>
      <w:szCs w:val="16"/>
    </w:rPr>
  </w:style>
  <w:style w:type="paragraph" w:styleId="aa">
    <w:name w:val="Balloon Text"/>
    <w:basedOn w:val="a1"/>
    <w:semiHidden/>
    <w:rsid w:val="00A07E40"/>
    <w:rPr>
      <w:rFonts w:ascii="Tahoma" w:hAnsi="Tahoma" w:cs="Tahoma"/>
      <w:sz w:val="16"/>
      <w:szCs w:val="16"/>
    </w:rPr>
  </w:style>
  <w:style w:type="character" w:styleId="ab">
    <w:name w:val="page number"/>
    <w:basedOn w:val="a2"/>
    <w:rsid w:val="00A07E40"/>
  </w:style>
  <w:style w:type="character" w:styleId="ac">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d">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320815"/>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1"/>
    <w:rsid w:val="00320815"/>
    <w:pPr>
      <w:spacing w:line="360" w:lineRule="auto"/>
      <w:jc w:val="both"/>
    </w:pPr>
    <w:rPr>
      <w:rFonts w:ascii="Times New Roman" w:eastAsia="Times New Roman" w:hAnsi="Times New Roman"/>
    </w:rPr>
  </w:style>
  <w:style w:type="paragraph" w:styleId="a">
    <w:name w:val="List Number"/>
    <w:basedOn w:val="a1"/>
    <w:unhideWhenUsed/>
    <w:rsid w:val="001E3BFE"/>
    <w:pPr>
      <w:numPr>
        <w:numId w:val="18"/>
      </w:numPr>
      <w:spacing w:after="120" w:line="360" w:lineRule="auto"/>
      <w:ind w:right="360"/>
    </w:pPr>
    <w:rPr>
      <w:rFonts w:ascii="Times New Roman" w:eastAsia="Times New Roman" w:hAnsi="Times New Roman"/>
    </w:rPr>
  </w:style>
  <w:style w:type="paragraph" w:customStyle="1" w:styleId="ae">
    <w:name w:val="כותרת"/>
    <w:basedOn w:val="a1"/>
    <w:next w:val="af"/>
    <w:autoRedefine/>
    <w:rsid w:val="001E3BFE"/>
    <w:pPr>
      <w:spacing w:after="120" w:line="360" w:lineRule="auto"/>
      <w:jc w:val="both"/>
    </w:pPr>
    <w:rPr>
      <w:rFonts w:ascii="Times New Roman" w:eastAsia="Times New Roman" w:hAnsi="Times New Roman"/>
      <w:bCs/>
      <w:u w:val="single"/>
      <w:lang w:eastAsia="he-IL"/>
    </w:rPr>
  </w:style>
  <w:style w:type="paragraph" w:customStyle="1" w:styleId="a0">
    <w:name w:val="ממוספר"/>
    <w:basedOn w:val="a1"/>
    <w:rsid w:val="001E3BFE"/>
    <w:pPr>
      <w:numPr>
        <w:numId w:val="19"/>
      </w:numPr>
      <w:spacing w:after="120" w:line="360" w:lineRule="auto"/>
    </w:pPr>
    <w:rPr>
      <w:rFonts w:eastAsia="Times New Roman"/>
      <w:color w:val="000000"/>
    </w:rPr>
  </w:style>
  <w:style w:type="character" w:customStyle="1" w:styleId="default">
    <w:name w:val="default"/>
    <w:rsid w:val="001E3BFE"/>
    <w:rPr>
      <w:rFonts w:ascii="Times New Roman" w:hAnsi="Times New Roman" w:cs="Times New Roman" w:hint="default"/>
      <w:sz w:val="26"/>
      <w:szCs w:val="26"/>
    </w:rPr>
  </w:style>
  <w:style w:type="paragraph" w:styleId="af">
    <w:name w:val="List"/>
    <w:basedOn w:val="a1"/>
    <w:semiHidden/>
    <w:unhideWhenUsed/>
    <w:rsid w:val="001E3BFE"/>
    <w:pPr>
      <w:ind w:left="283" w:hanging="283"/>
      <w:contextualSpacing/>
    </w:pPr>
  </w:style>
  <w:style w:type="paragraph" w:styleId="af0">
    <w:name w:val="List Paragraph"/>
    <w:basedOn w:val="a1"/>
    <w:uiPriority w:val="34"/>
    <w:qFormat/>
    <w:rsid w:val="00E939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312782">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2.jp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jpg"/><Relationship Id="rId23" Type="http://schemas.openxmlformats.org/officeDocument/2006/relationships/footer" Target="footer3.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33641C"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33641C" w:rsidRDefault="0065412F" w:rsidP="0065412F">
          <w:pPr>
            <w:pStyle w:val="F62389D86E2542B8B6FC43D6EDFA6E50"/>
          </w:pPr>
          <w:r>
            <w:rPr>
              <w:b/>
              <w:bCs/>
              <w:sz w:val="26"/>
              <w:szCs w:val="26"/>
              <w:rtl/>
            </w:rPr>
            <w:t>מספר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3641C"/>
    <w:rsid w:val="0038174A"/>
    <w:rsid w:val="003E288D"/>
    <w:rsid w:val="004113C2"/>
    <w:rsid w:val="004547C5"/>
    <w:rsid w:val="0065412F"/>
    <w:rsid w:val="007D1B7A"/>
    <w:rsid w:val="007E6257"/>
    <w:rsid w:val="008B7002"/>
    <w:rsid w:val="009009C8"/>
    <w:rsid w:val="00907022"/>
    <w:rsid w:val="00951FB8"/>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3</OrdinalNumber>
  </dt_Signature>
</SignatureDS>
</file>

<file path=customXml/item2.xml><?xml version="1.0" encoding="utf-8"?>
<SignatureDS>
  <dt_Signature>
    <UserUPN>054586292@GOV.IL</UserUPN>
    <FirstName>רות</FirstName>
    <LastName>לורך</LastName>
    <DisplayName>רות לורך</DisplayName>
    <SignatureGrafic>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</SignatureGrafic>
    <RoleID>47</RoleID>
    <TitleOrRoleName>שופטת - נשיאה</TitleOrRoleName>
    <OrdinalNumber>1</OrdinalNumber>
  </dt_Signature>
  <dt_Signature>
    <UserUPN>056593841@GOV.IL</UserUPN>
    <FirstName>דבורה</FirstName>
    <LastName>עטר</LastName>
    <DisplayName>דבורה עטר</DisplayName>
    <SignatureGrafic>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</SignatureGrafic>
    <RoleID>16</RoleID>
    <TitleOrRoleName>שופטת</TitleOrRoleName>
    <OrdinalNumber>2</OrdinalNumber>
  </dt_Signature>
  <dt_Signature>
    <UserUPN>029737269@GOV.IL</UserUPN>
    <FirstName>עמי</FirstName>
    <LastName>קובו</LastName>
    <DisplayName>עמי קובו</DisplayName>
    <SignatureGrafic>/9j/4AAQSkZJRgABAQEAYABgAAD/2wBDAA4KCw0LCQ4NDA0QDw4RFiQXFhQUFiwgIRokNC43NjMuMjI6QVNGOj1OPjIySGJJTlZYXV5dOEVmbWVabFNbXVn/2wBDAQ8QEBYTFioXFypZOzI7WVlZWVlZWVlZWVlZWVlZWVlZWVlZWVlZWVlZWVlZWVlZWVlZWVlZWVlZWVlZWVlZWVn/wAARCAA2AK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</SignatureGrafic>
    <RoleID>11</RoleID>
    <TitleOrRoleName>שופט</TitleOrRoleName>
    <OrdinalNumber>3</OrdinalNumber>
  </dt_Signature>
</SignatureDS>
</file>

<file path=customXml/item3.xml><?xml version="1.0" encoding="utf-8"?>
<NewDataSet/>
</file>

<file path=customXml/item4.xml><?xml version="1.0" encoding="utf-8"?>
<AttendeesDS/>
</file>

<file path=customXml/item5.xml><?xml version="1.0" encoding="utf-8"?>
<NewDataSet/>
</file>

<file path=customXml/item6.xml><?xml version="1.0" encoding="utf-8"?>
<MeetingDS>
  <dt_Meeting>
    <MeetingID>88278822</MeetingID>
    <MeetingDate>2023-11-27T00:00:00+02:00</MeetingDate>
    <StartTime>10:30     </StartTime>
    <FinishTime>11:00     </FinishTime>
    <AllDayEvent>false</AllDayEvent>
    <Label>0</Label>
    <ShowTimeAs>0</ShowTimeAs>
    <Remark/>
    <MeetingTypeID>1</MeetingTypeID>
    <UserID>034947424@GOV.IL</UserID>
    <ChangeDate>2023-11-21T11:24:49.4+02:00</ChangeDate>
    <MeetingMode>1</MeetingMode>
    <IsVCMeeting>false</IsVCMeeting>
  </dt_Meeting>
  <dt_MeetingUser>
    <MeetingID>88278822</MeetingID>
    <UserID>054586292@GOV.IL</UserID>
    <IsSynchronized>false</IsSynchronized>
    <ExchangeGUID>3764d96d-d581-45c0-b3ad-b749b65a02f7.eml</ExchangeGUID>
  </dt_MeetingUser>
  <dt_MeetingUser>
    <MeetingID>88278822</MeetingID>
    <UserID>056593841@GOV.IL</UserID>
    <IsSynchronized>false</IsSynchronized>
    <ExchangeGUID>a74a9285-a9a1-451e-be16-9dc54ac8a918.eml</ExchangeGUID>
    <OrdinalNumberID>1</OrdinalNumberID>
  </dt_MeetingUser>
  <dt_MeetingUser>
    <MeetingID>88278822</MeetingID>
    <UserID>029737269@GOV.IL</UserID>
    <IsSynchronized>false</IsSynchronized>
    <ExchangeGUID>e627fdde-8f5b-4982-baa5-3432ec59beb6.eml</ExchangeGUID>
    <OrdinalNumberID>2</OrdinalNumberID>
  </dt_MeetingUser>
  <dt_Sitting>
    <SittingID>96301302</SittingID>
    <MeetingID>88278822</MeetingID>
    <SittingTypeID>15</SittingTypeID>
    <CourtID>896</CourtID>
    <ActivatingMethodID>1</ActivatingMethodID>
    <SittingActivityStatusID>1</SittingActivityStatusID>
    <ChangeDate>2023-11-21T11:24:49.31+02:00</ChangeDate>
    <UserID>034947424@GOV.IL</UserID>
    <StartTime>10:30     </StartTime>
    <FinishTime>11:00     </FinishTime>
    <PreviousSittingID>96199526</PreviousSittingID>
    <Remark/>
    <OrdinalNumber>0</OrdinalNumber>
    <RemarkSittingType/>
    <CreateDate>2023-11-21T11:24:49.397+02:00</CreateDate>
    <ProtocolSubjectID>0</ProtocolSubjectID>
    <CourtDisplayName>בית המשפט המחוזי מרכז-לוד</CourtDisplayName>
    <IsProtocolFirst>0</IsProtocolFirst>
    <IsProtocolNotFirst>true</IsProtocolNotFirst>
    <ReadingDate>31/10/2022</ReadingDate>
    <ReadingTime>09:00</ReadingTime>
    <AccusedAnswerDate/>
    <AccusedAnswerTime/>
    <ProofDate/>
    <ProofTime/>
    <CourtAddress>שדרות הציונות 3 לוד</CourtAddress>
    <IsTitleCaseExists>0</IsTitleCaseExists>
    <ProtocolSubject/>
    <CaseTypeID>10077</CaseTypeID>
  </dt_Sitting>
  <dt_SittingCase>
    <SittingCaseID>97695789</SittingCaseID>
    <SittingID>96301302</SittingID>
    <CaseID>79485911</CaseID>
    <CaseDisplayIdentifier>1285-08-22</CaseDisplayIdentifier>
    <CaseName>מדינת ישראל נ' שאול</CaseName>
    <CaseTypeDesc>תפ"ח</CaseTypeDesc>
    <CaseLinkType>-1</CaseLinkType>
  </dt_SittingCase>
  <dt_MeetingUserHistory>
    <MeetingUserHistoryID>659995</MeetingUserHistoryID>
    <MeetingID>88278822</MeetingID>
    <UserID>054586292@GOV.IL</UserID>
    <MeetingUserActionTypeID>1</MeetingUserActionTypeID>
    <ActionDate>2023-11-21T11:24:49.31+02:00</ActionDate>
  </dt_MeetingUserHistory>
  <dt_MeetingUserHistory>
    <MeetingUserHistoryID>659996</MeetingUserHistoryID>
    <MeetingID>88278822</MeetingID>
    <UserID>056593841@GOV.IL</UserID>
    <MeetingUserActionTypeID>1</MeetingUserActionTypeID>
    <ActionDate>2023-11-21T11:24:49.31+02:00</ActionDate>
  </dt_MeetingUserHistory>
  <dt_MeetingUserHistory>
    <MeetingUserHistoryID>659997</MeetingUserHistoryID>
    <MeetingID>88278822</MeetingID>
    <UserID>029737269@GOV.IL</UserID>
    <MeetingUserActionTypeID>1</MeetingUserActionTypeID>
    <ActionDate>2023-11-21T11:24:49.31+02:00</ActionDate>
  </dt_MeetingUserHistory>
  <dt_Case>
    <CaseName>מדינת ישראל נ' שאול</CaseName>
  </dt_Case>
  <dt_CasePartyA>
    <CasePartyID>244242496</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244242498</CasePartyID>
    <GroupPartyAlias>נאשמים</GroupPartyAlias>
    <PartyAliasID>13</PartyAliasID>
    <OrdinalNumber/>
    <FullName>צבי שאול</FullName>
    <FullNameAndRoleName>צבי שאול</FullNameAndRoleName>
    <FirstName>צבי</FirstName>
    <LastName>שאול</LastName>
    <RoleName>נאשם 1</RoleName>
    <TypeIdentifier>ת"ז</TypeIdentifier>
    <AuthenticationNumber>043697820</AuthenticationNumber>
    <CasePartyTypeID>1</CasePartyTypeID>
    <IsPublicationProhibited>false</IsPublicationProhibited>
  </dt_CasePartyB>
  <UserMetaData>
    <UserPrincipalName/>
    <DisplayName>שופטת - נשיאה רות לורך, שופטת דבורה עטר, שופט עמי קובו</DisplayName>
    <UserIdentity>1</UserIdentity>
    <JudgeRoleName>שופט</JudgeRoleName>
  </UserMetaData>
  <dt_ExternalCase>
    <ExternalCaseID>72422492</ExternalCaseID>
    <ExternalCaseNumber>813554/2020</ExternalCaseNumber>
    <ExternalCaseTypeID>29</ExternalCaseTypeID>
    <ExternalCaseType>מספר פל"א</ExternalCaseType>
  </dt_ExternalCase>
</MeetingDS>
</file>

<file path=customXml/item7.xml><?xml version="1.0" encoding="utf-8"?>
<NewDataSet/>
</file>

<file path=customXml/itemProps1.xml><?xml version="1.0" encoding="utf-8"?>
<ds:datastoreItem xmlns:ds="http://schemas.openxmlformats.org/officeDocument/2006/customXml" ds:itemID="{B6AA1BE4-483F-4567-AF0C-5B8D894331B2}">
  <ds:schemaRefs/>
</ds:datastoreItem>
</file>

<file path=customXml/itemProps2.xml><?xml version="1.0" encoding="utf-8"?>
<ds:datastoreItem xmlns:ds="http://schemas.openxmlformats.org/officeDocument/2006/customXml" ds:itemID="{8C3EE476-F9B5-4ACA-B058-AC8F48901944}">
  <ds:schemaRefs/>
</ds:datastoreItem>
</file>

<file path=customXml/itemProps3.xml><?xml version="1.0" encoding="utf-8"?>
<ds:datastoreItem xmlns:ds="http://schemas.openxmlformats.org/officeDocument/2006/customXml" ds:itemID="{6BD9B911-E83B-4B05-AB2E-37395C6EBB9B}">
  <ds:schemaRefs/>
</ds:datastoreItem>
</file>

<file path=customXml/itemProps4.xml><?xml version="1.0" encoding="utf-8"?>
<ds:datastoreItem xmlns:ds="http://schemas.openxmlformats.org/officeDocument/2006/customXml" ds:itemID="{A90D200F-E789-4913-B5FE-43E9518A30AD}">
  <ds:schemaRefs/>
</ds:datastoreItem>
</file>

<file path=customXml/itemProps5.xml><?xml version="1.0" encoding="utf-8"?>
<ds:datastoreItem xmlns:ds="http://schemas.openxmlformats.org/officeDocument/2006/customXml" ds:itemID="{7AC0CB5E-6AC7-4A74-AFA5-6C6DEBCEB15E}">
  <ds:schemaRefs/>
</ds:datastoreItem>
</file>

<file path=customXml/itemProps6.xml><?xml version="1.0" encoding="utf-8"?>
<ds:datastoreItem xmlns:ds="http://schemas.openxmlformats.org/officeDocument/2006/customXml" ds:itemID="{0D305F2C-75A5-4906-BD99-66EAD75A1C86}">
  <ds:schemaRefs/>
</ds:datastoreItem>
</file>

<file path=customXml/itemProps7.xml><?xml version="1.0" encoding="utf-8"?>
<ds:datastoreItem xmlns:ds="http://schemas.openxmlformats.org/officeDocument/2006/customXml" ds:itemID="{D55E5C13-6C0B-44A5-A495-2FE8234AA69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3846</Words>
  <Characters>19231</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נעה בקר</cp:lastModifiedBy>
  <cp:revision>2</cp:revision>
  <cp:lastPrinted>2023-11-27T08:49:00Z</cp:lastPrinted>
  <dcterms:created xsi:type="dcterms:W3CDTF">2024-06-16T06:02:00Z</dcterms:created>
  <dcterms:modified xsi:type="dcterms:W3CDTF">2024-06-16T06:02:00Z</dcterms:modified>
</cp:coreProperties>
</file>